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8D" w:rsidRPr="007474F8" w:rsidRDefault="007474F8" w:rsidP="006A5073">
      <w:pPr>
        <w:spacing w:after="0" w:line="240" w:lineRule="auto"/>
        <w:contextualSpacing/>
        <w:jc w:val="center"/>
        <w:rPr>
          <w:rFonts w:eastAsia="Times New Roman" w:cs="Arial"/>
          <w:b/>
          <w:color w:val="403152" w:themeColor="accent4" w:themeShade="80"/>
          <w:sz w:val="24"/>
          <w:szCs w:val="24"/>
          <w:lang w:val="en-US"/>
        </w:rPr>
      </w:pPr>
      <w:r w:rsidRPr="007474F8">
        <w:rPr>
          <w:rFonts w:eastAsia="Times New Roman" w:cs="Arial"/>
          <w:b/>
          <w:color w:val="403152" w:themeColor="accent4" w:themeShade="80"/>
          <w:sz w:val="24"/>
          <w:szCs w:val="24"/>
          <w:lang w:val="en-US"/>
        </w:rPr>
        <mc:AlternateContent>
          <mc:Choice Requires="wps">
            <w:drawing>
              <wp:anchor distT="0" distB="0" distL="114300" distR="114300" simplePos="0" relativeHeight="251660288" behindDoc="0" locked="0" layoutInCell="1" allowOverlap="1" wp14:anchorId="6F8B245B" wp14:editId="47FEAA86">
                <wp:simplePos x="0" y="0"/>
                <wp:positionH relativeFrom="column">
                  <wp:posOffset>105361</wp:posOffset>
                </wp:positionH>
                <wp:positionV relativeFrom="paragraph">
                  <wp:posOffset>-168275</wp:posOffset>
                </wp:positionV>
                <wp:extent cx="5901396" cy="323215"/>
                <wp:effectExtent l="0" t="0" r="444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396" cy="323215"/>
                        </a:xfrm>
                        <a:prstGeom prst="rect">
                          <a:avLst/>
                        </a:prstGeom>
                        <a:solidFill>
                          <a:schemeClr val="accent4">
                            <a:lumMod val="20000"/>
                            <a:lumOff val="80000"/>
                          </a:schemeClr>
                        </a:solidFill>
                        <a:ln w="9525">
                          <a:noFill/>
                          <a:miter lim="800000"/>
                          <a:headEnd/>
                          <a:tailEnd/>
                        </a:ln>
                      </wps:spPr>
                      <wps:txbx>
                        <w:txbxContent>
                          <w:p w:rsidR="007474F8" w:rsidRPr="008D14BA" w:rsidRDefault="007474F8" w:rsidP="007474F8">
                            <w:pPr>
                              <w:jc w:val="center"/>
                              <w:rPr>
                                <w:rFonts w:ascii="Arial" w:hAnsi="Arial" w:cs="Arial"/>
                                <w:b/>
                                <w:color w:val="403152" w:themeColor="accent4" w:themeShade="80"/>
                                <w:sz w:val="32"/>
                                <w:szCs w:val="32"/>
                              </w:rPr>
                            </w:pPr>
                            <w:r w:rsidRPr="008D14BA">
                              <w:rPr>
                                <w:rFonts w:ascii="Arial" w:hAnsi="Arial" w:cs="Arial"/>
                                <w:b/>
                                <w:color w:val="403152" w:themeColor="accent4" w:themeShade="80"/>
                                <w:sz w:val="32"/>
                                <w:szCs w:val="32"/>
                              </w:rPr>
                              <w:t xml:space="preserve">Appendix </w:t>
                            </w:r>
                            <w:r>
                              <w:rPr>
                                <w:rFonts w:ascii="Arial" w:hAnsi="Arial" w:cs="Arial"/>
                                <w:b/>
                                <w:color w:val="403152" w:themeColor="accent4" w:themeShade="80"/>
                                <w:sz w:val="32"/>
                                <w:szCs w:val="32"/>
                              </w:rPr>
                              <w:t>C</w:t>
                            </w:r>
                            <w:r w:rsidRPr="008D14BA">
                              <w:rPr>
                                <w:rFonts w:ascii="Arial" w:hAnsi="Arial" w:cs="Arial"/>
                                <w:b/>
                                <w:color w:val="403152" w:themeColor="accent4" w:themeShade="80"/>
                                <w:sz w:val="32"/>
                                <w:szCs w:val="32"/>
                              </w:rPr>
                              <w:t xml:space="preserve">: </w:t>
                            </w:r>
                            <w:r>
                              <w:rPr>
                                <w:rFonts w:ascii="Arial" w:hAnsi="Arial" w:cs="Arial"/>
                                <w:b/>
                                <w:color w:val="403152" w:themeColor="accent4" w:themeShade="80"/>
                                <w:sz w:val="32"/>
                                <w:szCs w:val="32"/>
                              </w:rPr>
                              <w:t>Disprop</w:t>
                            </w:r>
                            <w:r w:rsidRPr="008D14BA">
                              <w:rPr>
                                <w:rFonts w:ascii="Arial" w:hAnsi="Arial" w:cs="Arial"/>
                                <w:b/>
                                <w:color w:val="403152" w:themeColor="accent4" w:themeShade="80"/>
                                <w:sz w:val="32"/>
                                <w:szCs w:val="32"/>
                              </w:rPr>
                              <w:t>or</w:t>
                            </w:r>
                            <w:r>
                              <w:rPr>
                                <w:rFonts w:ascii="Arial" w:hAnsi="Arial" w:cs="Arial"/>
                                <w:b/>
                                <w:color w:val="403152" w:themeColor="accent4" w:themeShade="80"/>
                                <w:sz w:val="32"/>
                                <w:szCs w:val="32"/>
                              </w:rPr>
                              <w:t>tionate Effort Exemption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pt;margin-top:-13.25pt;width:464.7pt;height: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" fillcolor="#e5dfec [663]" stroked="f">
                <v:textbox>
                  <w:txbxContent>
                    <w:p w:rsidR="007474F8" w:rsidRPr="008D14BA" w:rsidRDefault="007474F8" w:rsidP="007474F8">
                      <w:pPr>
                        <w:jc w:val="center"/>
                        <w:rPr>
                          <w:rFonts w:ascii="Arial" w:hAnsi="Arial" w:cs="Arial"/>
                          <w:b/>
                          <w:color w:val="403152" w:themeColor="accent4" w:themeShade="80"/>
                          <w:sz w:val="32"/>
                          <w:szCs w:val="32"/>
                        </w:rPr>
                      </w:pPr>
                      <w:r w:rsidRPr="008D14BA">
                        <w:rPr>
                          <w:rFonts w:ascii="Arial" w:hAnsi="Arial" w:cs="Arial"/>
                          <w:b/>
                          <w:color w:val="403152" w:themeColor="accent4" w:themeShade="80"/>
                          <w:sz w:val="32"/>
                          <w:szCs w:val="32"/>
                        </w:rPr>
                        <w:t xml:space="preserve">Appendix </w:t>
                      </w:r>
                      <w:r>
                        <w:rPr>
                          <w:rFonts w:ascii="Arial" w:hAnsi="Arial" w:cs="Arial"/>
                          <w:b/>
                          <w:color w:val="403152" w:themeColor="accent4" w:themeShade="80"/>
                          <w:sz w:val="32"/>
                          <w:szCs w:val="32"/>
                        </w:rPr>
                        <w:t>C</w:t>
                      </w:r>
                      <w:r w:rsidRPr="008D14BA">
                        <w:rPr>
                          <w:rFonts w:ascii="Arial" w:hAnsi="Arial" w:cs="Arial"/>
                          <w:b/>
                          <w:color w:val="403152" w:themeColor="accent4" w:themeShade="80"/>
                          <w:sz w:val="32"/>
                          <w:szCs w:val="32"/>
                        </w:rPr>
                        <w:t xml:space="preserve">: </w:t>
                      </w:r>
                      <w:r>
                        <w:rPr>
                          <w:rFonts w:ascii="Arial" w:hAnsi="Arial" w:cs="Arial"/>
                          <w:b/>
                          <w:color w:val="403152" w:themeColor="accent4" w:themeShade="80"/>
                          <w:sz w:val="32"/>
                          <w:szCs w:val="32"/>
                        </w:rPr>
                        <w:t>Disprop</w:t>
                      </w:r>
                      <w:r w:rsidRPr="008D14BA">
                        <w:rPr>
                          <w:rFonts w:ascii="Arial" w:hAnsi="Arial" w:cs="Arial"/>
                          <w:b/>
                          <w:color w:val="403152" w:themeColor="accent4" w:themeShade="80"/>
                          <w:sz w:val="32"/>
                          <w:szCs w:val="32"/>
                        </w:rPr>
                        <w:t>or</w:t>
                      </w:r>
                      <w:r>
                        <w:rPr>
                          <w:rFonts w:ascii="Arial" w:hAnsi="Arial" w:cs="Arial"/>
                          <w:b/>
                          <w:color w:val="403152" w:themeColor="accent4" w:themeShade="80"/>
                          <w:sz w:val="32"/>
                          <w:szCs w:val="32"/>
                        </w:rPr>
                        <w:t>tionate Effort Exemption Guidance</w:t>
                      </w:r>
                    </w:p>
                  </w:txbxContent>
                </v:textbox>
              </v:shape>
            </w:pict>
          </mc:Fallback>
        </mc:AlternateContent>
      </w:r>
      <w:r w:rsidRPr="007474F8">
        <w:rPr>
          <w:rFonts w:eastAsia="Times New Roman" w:cs="Arial"/>
          <w:b/>
          <w:color w:val="403152" w:themeColor="accent4" w:themeShade="80"/>
          <w:sz w:val="24"/>
          <w:szCs w:val="24"/>
          <w:lang w:val="en-US"/>
        </w:rPr>
        <mc:AlternateContent>
          <mc:Choice Requires="wps">
            <w:drawing>
              <wp:anchor distT="0" distB="0" distL="114300" distR="114300" simplePos="0" relativeHeight="251659264" behindDoc="0" locked="0" layoutInCell="1" allowOverlap="1" wp14:anchorId="3B531238" wp14:editId="7CEEC867">
                <wp:simplePos x="0" y="0"/>
                <wp:positionH relativeFrom="column">
                  <wp:posOffset>-7034</wp:posOffset>
                </wp:positionH>
                <wp:positionV relativeFrom="paragraph">
                  <wp:posOffset>-218049</wp:posOffset>
                </wp:positionV>
                <wp:extent cx="6083642" cy="442595"/>
                <wp:effectExtent l="0" t="0" r="12700" b="14605"/>
                <wp:wrapNone/>
                <wp:docPr id="2" name="Rounded Rectangle 2"/>
                <wp:cNvGraphicFramePr/>
                <a:graphic xmlns:a="http://schemas.openxmlformats.org/drawingml/2006/main">
                  <a:graphicData uri="http://schemas.microsoft.com/office/word/2010/wordprocessingShape">
                    <wps:wsp>
                      <wps:cNvSpPr/>
                      <wps:spPr>
                        <a:xfrm>
                          <a:off x="0" y="0"/>
                          <a:ext cx="6083642" cy="44259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55pt;margin-top:-17.15pt;width:479.05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" fillcolor="#e5dfec [663]" strokecolor="#5f497a [2407]" strokeweight="2pt"/>
            </w:pict>
          </mc:Fallback>
        </mc:AlternateContent>
      </w:r>
      <w:r w:rsidR="00F6088D" w:rsidRPr="007474F8">
        <w:rPr>
          <w:rFonts w:eastAsia="Times New Roman" w:cs="Arial"/>
          <w:b/>
          <w:color w:val="403152" w:themeColor="accent4" w:themeShade="80"/>
          <w:sz w:val="24"/>
          <w:szCs w:val="24"/>
          <w:lang w:val="en-US"/>
        </w:rPr>
        <w:t>Appendix C – Disproportionate Effort Exemption Guidance</w:t>
      </w:r>
    </w:p>
    <w:p w:rsidR="00F6088D" w:rsidRDefault="00F6088D" w:rsidP="006A5073">
      <w:pPr>
        <w:spacing w:after="0" w:line="240" w:lineRule="auto"/>
        <w:contextualSpacing/>
        <w:rPr>
          <w:rFonts w:eastAsia="Times New Roman" w:cs="Arial"/>
          <w:lang w:val="en-US"/>
        </w:rPr>
      </w:pPr>
    </w:p>
    <w:p w:rsidR="00CC5B08" w:rsidRPr="006C44EE" w:rsidRDefault="00CC5B08" w:rsidP="006A5073">
      <w:pPr>
        <w:spacing w:after="0" w:line="240" w:lineRule="auto"/>
        <w:contextualSpacing/>
        <w:rPr>
          <w:rFonts w:eastAsia="Times New Roman" w:cs="Arial"/>
          <w:lang w:val="en-US"/>
        </w:rPr>
      </w:pPr>
      <w:r w:rsidRPr="006C44EE">
        <w:rPr>
          <w:rFonts w:eastAsia="Times New Roman" w:cs="Arial"/>
          <w:lang w:val="en-US"/>
        </w:rPr>
        <w:t>This guidance sheet is based on the revised Information Commissioner Subject Access Code of Practice that was issued in July 2017:</w:t>
      </w:r>
    </w:p>
    <w:p w:rsidR="00CC5B08" w:rsidRPr="006C44EE" w:rsidRDefault="00CC5B08" w:rsidP="006A5073">
      <w:pPr>
        <w:spacing w:after="0" w:line="240" w:lineRule="auto"/>
        <w:ind w:left="720"/>
        <w:contextualSpacing/>
        <w:rPr>
          <w:rFonts w:eastAsia="Times New Roman" w:cs="Arial"/>
          <w:lang w:val="en-US"/>
        </w:rPr>
      </w:pPr>
    </w:p>
    <w:p w:rsidR="00CC5B08" w:rsidRPr="006C44EE" w:rsidRDefault="007474F8" w:rsidP="006A5073">
      <w:pPr>
        <w:spacing w:after="0" w:line="240" w:lineRule="auto"/>
        <w:contextualSpacing/>
        <w:rPr>
          <w:rFonts w:eastAsia="Times New Roman" w:cs="Arial"/>
          <w:lang w:val="en-US"/>
        </w:rPr>
      </w:pPr>
      <w:hyperlink r:id="rId6" w:history="1">
        <w:r w:rsidR="00CC5B08" w:rsidRPr="006C44EE">
          <w:rPr>
            <w:rStyle w:val="Hyperlink"/>
            <w:rFonts w:eastAsia="Times New Roman" w:cs="Arial"/>
            <w:color w:val="1F4E79"/>
            <w:lang w:val="en-US"/>
          </w:rPr>
          <w:t>https://ico.org.uk/media/for-organisations/documents/2014223/subject-access-code-of-practice.pdf</w:t>
        </w:r>
      </w:hyperlink>
      <w:r w:rsidR="00CC5B08" w:rsidRPr="006C44EE">
        <w:rPr>
          <w:rFonts w:eastAsia="Times New Roman" w:cs="Arial"/>
          <w:lang w:val="en-US"/>
        </w:rPr>
        <w:t xml:space="preserve"> </w:t>
      </w:r>
    </w:p>
    <w:p w:rsidR="00CC5B08" w:rsidRPr="006C44EE" w:rsidRDefault="00CC5B08" w:rsidP="006A5073">
      <w:pPr>
        <w:spacing w:after="0" w:line="240" w:lineRule="auto"/>
        <w:ind w:left="408"/>
        <w:contextualSpacing/>
        <w:rPr>
          <w:rFonts w:eastAsia="Times New Roman" w:cs="Arial"/>
          <w:b/>
          <w:lang w:val="en-US"/>
        </w:rPr>
      </w:pPr>
    </w:p>
    <w:p w:rsidR="00CC5B08" w:rsidRPr="006C44EE" w:rsidRDefault="00CC5B08" w:rsidP="006A5073">
      <w:pPr>
        <w:numPr>
          <w:ilvl w:val="0"/>
          <w:numId w:val="1"/>
        </w:numPr>
        <w:spacing w:after="0" w:line="240" w:lineRule="auto"/>
        <w:contextualSpacing/>
        <w:rPr>
          <w:rFonts w:eastAsia="Times New Roman" w:cs="Arial"/>
          <w:b/>
          <w:lang w:val="en-US"/>
        </w:rPr>
      </w:pPr>
      <w:r w:rsidRPr="006C44EE">
        <w:rPr>
          <w:rFonts w:eastAsia="Times New Roman" w:cs="Arial"/>
          <w:b/>
          <w:lang w:val="en-US"/>
        </w:rPr>
        <w:t>What is disproportionate effort?</w:t>
      </w:r>
    </w:p>
    <w:p w:rsidR="00CC5B08" w:rsidRPr="006C44EE" w:rsidRDefault="00CC5B08" w:rsidP="006A5073">
      <w:pPr>
        <w:spacing w:after="0" w:line="240" w:lineRule="auto"/>
        <w:ind w:left="720"/>
        <w:contextualSpacing/>
        <w:jc w:val="both"/>
        <w:rPr>
          <w:rFonts w:eastAsia="Times New Roman" w:cs="Arial"/>
          <w:lang w:val="en-US"/>
        </w:rPr>
      </w:pPr>
    </w:p>
    <w:p w:rsidR="00CC5B08" w:rsidRPr="00F6088D" w:rsidRDefault="00CC5B08" w:rsidP="006A5073">
      <w:pPr>
        <w:pStyle w:val="ListParagraph"/>
        <w:numPr>
          <w:ilvl w:val="0"/>
          <w:numId w:val="6"/>
        </w:numPr>
        <w:spacing w:after="0" w:line="240" w:lineRule="auto"/>
        <w:jc w:val="both"/>
        <w:rPr>
          <w:rFonts w:eastAsia="Times New Roman" w:cs="Arial"/>
          <w:lang w:val="en-US"/>
        </w:rPr>
      </w:pPr>
      <w:r w:rsidRPr="00F6088D">
        <w:rPr>
          <w:rFonts w:eastAsia="Times New Roman" w:cs="Arial"/>
          <w:lang w:val="en-US"/>
        </w:rPr>
        <w:t>The ‘disproportionate effort’ exception is in section 8(2) of the DPA. The Court of Appeal has provided clarification as to its application in its 2017 judgments in the cases of Dawson–</w:t>
      </w:r>
      <w:proofErr w:type="spellStart"/>
      <w:r w:rsidRPr="00F6088D">
        <w:rPr>
          <w:rFonts w:eastAsia="Times New Roman" w:cs="Arial"/>
          <w:lang w:val="en-US"/>
        </w:rPr>
        <w:t>Damer</w:t>
      </w:r>
      <w:proofErr w:type="spellEnd"/>
      <w:r w:rsidRPr="00F6088D">
        <w:rPr>
          <w:rFonts w:eastAsia="Times New Roman" w:cs="Arial"/>
          <w:lang w:val="en-US"/>
        </w:rPr>
        <w:t xml:space="preserve"> </w:t>
      </w:r>
      <w:r w:rsidRPr="00F6088D">
        <w:rPr>
          <w:rFonts w:eastAsia="Times New Roman" w:cs="Arial"/>
          <w:vertAlign w:val="superscript"/>
          <w:lang w:val="en-US"/>
        </w:rPr>
        <w:t>1</w:t>
      </w:r>
      <w:r w:rsidRPr="00F6088D">
        <w:rPr>
          <w:rFonts w:eastAsia="Times New Roman" w:cs="Arial"/>
          <w:lang w:val="en-US"/>
        </w:rPr>
        <w:t xml:space="preserve"> and </w:t>
      </w:r>
      <w:proofErr w:type="spellStart"/>
      <w:r w:rsidRPr="00F6088D">
        <w:rPr>
          <w:rFonts w:eastAsia="Times New Roman" w:cs="Arial"/>
          <w:lang w:val="en-US"/>
        </w:rPr>
        <w:t>Ittihadieh</w:t>
      </w:r>
      <w:proofErr w:type="spellEnd"/>
      <w:r w:rsidRPr="00F6088D">
        <w:rPr>
          <w:rFonts w:eastAsia="Times New Roman" w:cs="Arial"/>
          <w:lang w:val="en-US"/>
        </w:rPr>
        <w:t xml:space="preserve">/Deer and Oxford University </w:t>
      </w:r>
      <w:r w:rsidRPr="00F6088D">
        <w:rPr>
          <w:rFonts w:eastAsia="Times New Roman" w:cs="Arial"/>
          <w:vertAlign w:val="superscript"/>
          <w:lang w:val="en-US"/>
        </w:rPr>
        <w:t xml:space="preserve">2 </w:t>
      </w:r>
      <w:r w:rsidRPr="00F6088D">
        <w:rPr>
          <w:rFonts w:eastAsia="Times New Roman" w:cs="Arial"/>
          <w:lang w:val="en-US"/>
        </w:rPr>
        <w:t xml:space="preserve"> </w:t>
      </w:r>
    </w:p>
    <w:p w:rsidR="00CC5B08" w:rsidRPr="006C44EE" w:rsidRDefault="00CC5B08" w:rsidP="006A5073">
      <w:pPr>
        <w:spacing w:after="0" w:line="240" w:lineRule="auto"/>
        <w:ind w:firstLine="45"/>
        <w:jc w:val="both"/>
        <w:rPr>
          <w:rFonts w:eastAsia="Times New Roman" w:cs="Arial"/>
          <w:lang w:val="en-US"/>
        </w:rPr>
      </w:pPr>
    </w:p>
    <w:p w:rsidR="00CC5B08" w:rsidRPr="00F6088D" w:rsidRDefault="00CC5B08" w:rsidP="006A5073">
      <w:pPr>
        <w:pStyle w:val="ListParagraph"/>
        <w:numPr>
          <w:ilvl w:val="0"/>
          <w:numId w:val="6"/>
        </w:numPr>
        <w:spacing w:after="0" w:line="240" w:lineRule="auto"/>
        <w:jc w:val="both"/>
        <w:rPr>
          <w:rFonts w:eastAsia="Times New Roman" w:cs="Arial"/>
          <w:lang w:val="en-US"/>
        </w:rPr>
      </w:pPr>
      <w:r w:rsidRPr="00F6088D">
        <w:rPr>
          <w:rFonts w:eastAsia="Times New Roman" w:cs="Arial"/>
          <w:lang w:val="en-US"/>
        </w:rPr>
        <w:t>The DPA does not define ‘disproportionate effort’, but the court has explained that there is scope for assessing whether, in the circumstances of a particular case, complying with a request by supplying a copy of the requested information in permanent form would result in so much work or expense as to outweigh the requester’s right of access to their persona</w:t>
      </w:r>
      <w:bookmarkStart w:id="0" w:name="_GoBack"/>
      <w:bookmarkEnd w:id="0"/>
      <w:r w:rsidRPr="00F6088D">
        <w:rPr>
          <w:rFonts w:eastAsia="Times New Roman" w:cs="Arial"/>
          <w:lang w:val="en-US"/>
        </w:rPr>
        <w:t xml:space="preserve">l data  </w:t>
      </w:r>
    </w:p>
    <w:p w:rsidR="00CC5B08" w:rsidRDefault="00CC5B08" w:rsidP="006A5073">
      <w:pPr>
        <w:spacing w:after="0" w:line="240" w:lineRule="auto"/>
        <w:ind w:firstLine="60"/>
        <w:jc w:val="both"/>
        <w:rPr>
          <w:rFonts w:eastAsia="Times New Roman" w:cs="Arial"/>
          <w:sz w:val="24"/>
          <w:szCs w:val="24"/>
          <w:lang w:val="en-US"/>
        </w:rPr>
      </w:pPr>
    </w:p>
    <w:p w:rsidR="00CC5B08" w:rsidRPr="00F6088D" w:rsidRDefault="00CC5B08" w:rsidP="006A5073">
      <w:pPr>
        <w:pStyle w:val="ListParagraph"/>
        <w:numPr>
          <w:ilvl w:val="0"/>
          <w:numId w:val="6"/>
        </w:numPr>
        <w:spacing w:after="0" w:line="240" w:lineRule="auto"/>
        <w:jc w:val="both"/>
        <w:rPr>
          <w:rFonts w:eastAsia="Times New Roman" w:cs="Arial"/>
          <w:lang w:val="en-US"/>
        </w:rPr>
      </w:pPr>
      <w:r w:rsidRPr="00F6088D">
        <w:rPr>
          <w:rFonts w:eastAsia="Times New Roman" w:cs="Arial"/>
          <w:lang w:val="en-US"/>
        </w:rPr>
        <w:t>The court also made it clear that in assessing whether complying with a SAR would involve disproportionate effort under section 8(2)(a) you may take into account difficulties which occur throughout the process of complying with the request, including any difficulties you encounter in finding the requested information</w:t>
      </w:r>
    </w:p>
    <w:p w:rsidR="00CC5B08" w:rsidRPr="006C44EE" w:rsidRDefault="00CC5B08" w:rsidP="006A5073">
      <w:pPr>
        <w:spacing w:after="0" w:line="240" w:lineRule="auto"/>
        <w:ind w:left="720"/>
        <w:contextualSpacing/>
        <w:jc w:val="both"/>
        <w:rPr>
          <w:rFonts w:eastAsia="Times New Roman" w:cs="Arial"/>
          <w:lang w:val="en-US"/>
        </w:rPr>
      </w:pPr>
    </w:p>
    <w:p w:rsidR="00CC5B08" w:rsidRPr="00F6088D" w:rsidRDefault="00CC5B08" w:rsidP="006A5073">
      <w:pPr>
        <w:pStyle w:val="ListParagraph"/>
        <w:numPr>
          <w:ilvl w:val="0"/>
          <w:numId w:val="6"/>
        </w:numPr>
        <w:spacing w:after="0" w:line="240" w:lineRule="auto"/>
        <w:jc w:val="both"/>
        <w:rPr>
          <w:rFonts w:eastAsia="Times New Roman" w:cs="Arial"/>
          <w:lang w:val="en-US"/>
        </w:rPr>
      </w:pPr>
      <w:r w:rsidRPr="00F6088D">
        <w:rPr>
          <w:rFonts w:eastAsia="Times New Roman" w:cs="Arial"/>
          <w:lang w:val="en-US"/>
        </w:rPr>
        <w:t>This approach accords with the concept of proportionality in EU law, on which the DPA is based. When responding to SARs, the Information Commissioner expects you to evaluate the particular circumstances of each request, balancing any difficulties involved in complying with the request against the benefits the information might bring to the data subject, whilst bearing in mind the fundamental nature of the right of subject access</w:t>
      </w:r>
    </w:p>
    <w:p w:rsidR="00CC5B08" w:rsidRDefault="00CC5B08" w:rsidP="006A5073">
      <w:pPr>
        <w:spacing w:after="0" w:line="240" w:lineRule="auto"/>
        <w:ind w:left="720"/>
        <w:contextualSpacing/>
        <w:rPr>
          <w:rFonts w:eastAsia="Times New Roman" w:cs="Arial"/>
          <w:sz w:val="24"/>
          <w:szCs w:val="24"/>
          <w:lang w:val="en-US"/>
        </w:rPr>
      </w:pPr>
    </w:p>
    <w:p w:rsidR="00CC5B08" w:rsidRPr="006C44EE" w:rsidRDefault="00CC5B08" w:rsidP="006A5073">
      <w:pPr>
        <w:numPr>
          <w:ilvl w:val="0"/>
          <w:numId w:val="1"/>
        </w:numPr>
        <w:spacing w:after="0" w:line="240" w:lineRule="auto"/>
        <w:contextualSpacing/>
        <w:jc w:val="both"/>
        <w:rPr>
          <w:rFonts w:eastAsia="Times New Roman" w:cs="Arial"/>
          <w:b/>
          <w:lang w:val="en-US"/>
        </w:rPr>
      </w:pPr>
      <w:r w:rsidRPr="006C44EE">
        <w:rPr>
          <w:rFonts w:eastAsia="Times New Roman" w:cs="Arial"/>
          <w:b/>
          <w:lang w:val="en-US"/>
        </w:rPr>
        <w:t>How is this applied in practice?</w:t>
      </w:r>
    </w:p>
    <w:p w:rsidR="00CC5B08" w:rsidRPr="006C44EE" w:rsidRDefault="00CC5B08" w:rsidP="006A5073">
      <w:pPr>
        <w:spacing w:after="0" w:line="240" w:lineRule="auto"/>
        <w:jc w:val="both"/>
        <w:rPr>
          <w:rFonts w:eastAsia="Times New Roman" w:cs="Arial"/>
          <w:lang w:val="en-US"/>
        </w:rPr>
      </w:pPr>
      <w:r w:rsidRPr="006C44EE">
        <w:rPr>
          <w:rFonts w:eastAsia="Times New Roman" w:cs="Arial"/>
          <w:lang w:val="en-US"/>
        </w:rPr>
        <w:t xml:space="preserve"> </w:t>
      </w:r>
    </w:p>
    <w:p w:rsidR="00CC5B08" w:rsidRPr="00F6088D" w:rsidRDefault="00CC5B08" w:rsidP="006A5073">
      <w:pPr>
        <w:pStyle w:val="ListParagraph"/>
        <w:numPr>
          <w:ilvl w:val="0"/>
          <w:numId w:val="7"/>
        </w:numPr>
        <w:spacing w:after="0" w:line="240" w:lineRule="auto"/>
        <w:jc w:val="both"/>
        <w:rPr>
          <w:rFonts w:eastAsia="Times New Roman" w:cs="Arial"/>
          <w:lang w:val="en-US"/>
        </w:rPr>
      </w:pPr>
      <w:r w:rsidRPr="00F6088D">
        <w:rPr>
          <w:rFonts w:eastAsia="Times New Roman" w:cs="Arial"/>
          <w:lang w:val="en-US"/>
        </w:rPr>
        <w:t xml:space="preserve">In order to apply the exception, the burden of proof is on you as data controller to show that you have taken all reasonable steps to comply with the SAR, and that it would be disproportionate in all the circumstances of the case for you to take further steps  </w:t>
      </w:r>
    </w:p>
    <w:p w:rsidR="00CC5B08" w:rsidRPr="006C44EE" w:rsidRDefault="00CC5B08" w:rsidP="006A5073">
      <w:pPr>
        <w:spacing w:after="0" w:line="240" w:lineRule="auto"/>
        <w:ind w:firstLine="45"/>
        <w:jc w:val="both"/>
        <w:rPr>
          <w:rFonts w:eastAsia="Times New Roman" w:cs="Arial"/>
          <w:lang w:val="en-US"/>
        </w:rPr>
      </w:pPr>
    </w:p>
    <w:p w:rsidR="00CC5B08" w:rsidRPr="00F6088D" w:rsidRDefault="00CC5B08" w:rsidP="006A5073">
      <w:pPr>
        <w:pStyle w:val="ListParagraph"/>
        <w:numPr>
          <w:ilvl w:val="0"/>
          <w:numId w:val="7"/>
        </w:numPr>
        <w:spacing w:after="0" w:line="240" w:lineRule="auto"/>
        <w:jc w:val="both"/>
        <w:rPr>
          <w:rFonts w:eastAsia="Times New Roman" w:cs="Arial"/>
          <w:lang w:val="en-US"/>
        </w:rPr>
      </w:pPr>
      <w:r w:rsidRPr="00F6088D">
        <w:rPr>
          <w:rFonts w:eastAsia="Times New Roman" w:cs="Arial"/>
          <w:lang w:val="en-US"/>
        </w:rPr>
        <w:t>The Information Commissioner considers it good practice for you to engage with the applicant, having an open conversation about the information they require. This might help you to reduce the costs and effort that you would otherwise incur in searching for the information</w:t>
      </w:r>
    </w:p>
    <w:p w:rsidR="00CC5B08" w:rsidRPr="001279E6" w:rsidRDefault="00CC5B08" w:rsidP="006A5073">
      <w:pPr>
        <w:spacing w:after="0" w:line="240" w:lineRule="auto"/>
        <w:ind w:left="720"/>
        <w:contextualSpacing/>
        <w:jc w:val="both"/>
        <w:rPr>
          <w:rFonts w:eastAsia="Times New Roman" w:cs="Arial"/>
          <w:sz w:val="24"/>
          <w:szCs w:val="24"/>
          <w:lang w:val="en-US"/>
        </w:rPr>
      </w:pPr>
    </w:p>
    <w:p w:rsidR="0056409F" w:rsidRDefault="00CC5B08" w:rsidP="006A5073">
      <w:pPr>
        <w:spacing w:after="0" w:line="240" w:lineRule="auto"/>
        <w:rPr>
          <w:rFonts w:eastAsia="Times New Roman" w:cs="Arial"/>
          <w:lang w:val="en-US"/>
        </w:rPr>
      </w:pPr>
      <w:r w:rsidRPr="006C44EE">
        <w:rPr>
          <w:rFonts w:eastAsia="Times New Roman" w:cs="Arial"/>
          <w:lang w:val="en-US"/>
        </w:rPr>
        <w:t>If the Information Commissioner receives a complaint about your handling of a subject access request, they may take into account your readiness to engage with the applicant and balance this against the benefit and importance of the information to them, as well as taking into account their level of co-</w:t>
      </w:r>
      <w:r w:rsidR="00F6088D" w:rsidRPr="006C44EE">
        <w:rPr>
          <w:rFonts w:eastAsia="Times New Roman" w:cs="Arial"/>
          <w:lang w:val="en-US"/>
        </w:rPr>
        <w:t>operation with you in the course of the handling of a reque</w:t>
      </w:r>
      <w:r w:rsidR="00F6088D">
        <w:rPr>
          <w:rFonts w:eastAsia="Times New Roman" w:cs="Arial"/>
          <w:lang w:val="en-US"/>
        </w:rPr>
        <w:t>st.</w:t>
      </w:r>
    </w:p>
    <w:p w:rsidR="006A5073" w:rsidRDefault="006A5073" w:rsidP="006A5073">
      <w:pPr>
        <w:spacing w:after="0" w:line="240" w:lineRule="auto"/>
        <w:rPr>
          <w:rFonts w:eastAsia="Times New Roman" w:cs="Arial"/>
          <w:lang w:val="en-US"/>
        </w:rPr>
      </w:pPr>
    </w:p>
    <w:p w:rsidR="00F6088D" w:rsidRPr="00F6088D" w:rsidRDefault="00F6088D" w:rsidP="006A5073">
      <w:pPr>
        <w:pStyle w:val="ListParagraph"/>
        <w:numPr>
          <w:ilvl w:val="0"/>
          <w:numId w:val="8"/>
        </w:numPr>
        <w:spacing w:after="0" w:line="240" w:lineRule="auto"/>
        <w:jc w:val="both"/>
        <w:rPr>
          <w:rFonts w:eastAsia="Times New Roman" w:cs="Arial"/>
          <w:lang w:val="en-US"/>
        </w:rPr>
      </w:pPr>
      <w:r w:rsidRPr="00F6088D">
        <w:rPr>
          <w:rFonts w:eastAsia="Times New Roman" w:cs="Arial"/>
          <w:lang w:val="en-US"/>
        </w:rPr>
        <w:t>Even if you can show that supplying a copy of information in permanent form would involve disproportionate effort, you must still try to comply with the request in some other way, if the applicant agrees. This could form a useful part of your discussions with the applicant, in order to identify an alternative way of satisfying their request</w:t>
      </w:r>
    </w:p>
    <w:p w:rsidR="00F6088D" w:rsidRPr="006C44EE" w:rsidRDefault="00F6088D" w:rsidP="006A5073">
      <w:pPr>
        <w:spacing w:after="0" w:line="240" w:lineRule="auto"/>
        <w:ind w:left="720"/>
        <w:contextualSpacing/>
        <w:jc w:val="both"/>
        <w:rPr>
          <w:rFonts w:eastAsia="Times New Roman" w:cs="Arial"/>
          <w:lang w:val="en-US"/>
        </w:rPr>
      </w:pPr>
    </w:p>
    <w:p w:rsidR="00F6088D" w:rsidRPr="00F6088D" w:rsidRDefault="00F6088D" w:rsidP="006A5073">
      <w:pPr>
        <w:pStyle w:val="ListParagraph"/>
        <w:numPr>
          <w:ilvl w:val="0"/>
          <w:numId w:val="8"/>
        </w:numPr>
        <w:spacing w:after="0" w:line="240" w:lineRule="auto"/>
        <w:jc w:val="both"/>
        <w:rPr>
          <w:rFonts w:eastAsia="Times New Roman" w:cs="Arial"/>
          <w:lang w:val="en-US"/>
        </w:rPr>
      </w:pPr>
      <w:r w:rsidRPr="00F6088D">
        <w:rPr>
          <w:rFonts w:eastAsia="Times New Roman" w:cs="Arial"/>
          <w:lang w:val="en-US"/>
        </w:rPr>
        <w:lastRenderedPageBreak/>
        <w:t xml:space="preserve">In addition, even if you do not have to supply a copy of the information in permanent form, the requester still has the right: </w:t>
      </w:r>
    </w:p>
    <w:p w:rsidR="00F6088D" w:rsidRPr="006C44EE" w:rsidRDefault="00F6088D" w:rsidP="006A5073">
      <w:pPr>
        <w:spacing w:after="0" w:line="240" w:lineRule="auto"/>
        <w:ind w:left="720"/>
        <w:contextualSpacing/>
        <w:jc w:val="both"/>
        <w:rPr>
          <w:rFonts w:eastAsia="Times New Roman" w:cs="Arial"/>
          <w:lang w:val="en-US"/>
        </w:rPr>
      </w:pPr>
    </w:p>
    <w:p w:rsidR="00F6088D" w:rsidRPr="00F6088D" w:rsidRDefault="00F6088D" w:rsidP="006A5073">
      <w:pPr>
        <w:tabs>
          <w:tab w:val="left" w:pos="1134"/>
        </w:tabs>
        <w:spacing w:after="0" w:line="240" w:lineRule="auto"/>
        <w:ind w:left="360"/>
        <w:jc w:val="both"/>
        <w:rPr>
          <w:rFonts w:eastAsia="Times New Roman" w:cs="Arial"/>
          <w:lang w:val="en-US"/>
        </w:rPr>
      </w:pPr>
      <w:r>
        <w:rPr>
          <w:rFonts w:eastAsia="Times New Roman" w:cs="Arial"/>
          <w:lang w:val="en-US"/>
        </w:rPr>
        <w:tab/>
      </w:r>
      <w:r>
        <w:rPr>
          <w:rFonts w:eastAsia="Times New Roman" w:cs="Arial"/>
          <w:lang w:val="en-US"/>
        </w:rPr>
        <w:tab/>
      </w:r>
      <w:proofErr w:type="gramStart"/>
      <w:r w:rsidRPr="00F6088D">
        <w:rPr>
          <w:rFonts w:eastAsia="Times New Roman" w:cs="Arial"/>
          <w:lang w:val="en-US"/>
        </w:rPr>
        <w:t>to</w:t>
      </w:r>
      <w:proofErr w:type="gramEnd"/>
      <w:r w:rsidRPr="00F6088D">
        <w:rPr>
          <w:rFonts w:eastAsia="Times New Roman" w:cs="Arial"/>
          <w:lang w:val="en-US"/>
        </w:rPr>
        <w:t xml:space="preserve"> be informed whether you are processing their personal data; and </w:t>
      </w:r>
    </w:p>
    <w:p w:rsidR="00F6088D" w:rsidRPr="006C44EE" w:rsidRDefault="00F6088D" w:rsidP="006A5073">
      <w:pPr>
        <w:spacing w:after="0" w:line="240" w:lineRule="auto"/>
        <w:ind w:left="720"/>
        <w:contextualSpacing/>
        <w:jc w:val="both"/>
        <w:rPr>
          <w:rFonts w:eastAsia="Times New Roman" w:cs="Arial"/>
          <w:lang w:val="en-US"/>
        </w:rPr>
      </w:pPr>
    </w:p>
    <w:p w:rsidR="00F6088D" w:rsidRPr="00F6088D" w:rsidRDefault="00F6088D" w:rsidP="006A5073">
      <w:pPr>
        <w:spacing w:after="0" w:line="240" w:lineRule="auto"/>
        <w:ind w:left="1080" w:firstLine="360"/>
        <w:jc w:val="both"/>
        <w:rPr>
          <w:rFonts w:eastAsia="Times New Roman" w:cs="Arial"/>
          <w:lang w:val="en-US"/>
        </w:rPr>
      </w:pPr>
      <w:proofErr w:type="gramStart"/>
      <w:r w:rsidRPr="00F6088D">
        <w:rPr>
          <w:rFonts w:eastAsia="Times New Roman" w:cs="Arial"/>
          <w:lang w:val="en-US"/>
        </w:rPr>
        <w:t>if</w:t>
      </w:r>
      <w:proofErr w:type="gramEnd"/>
      <w:r w:rsidRPr="00F6088D">
        <w:rPr>
          <w:rFonts w:eastAsia="Times New Roman" w:cs="Arial"/>
          <w:lang w:val="en-US"/>
        </w:rPr>
        <w:t xml:space="preserve"> so, to be given a description of: </w:t>
      </w:r>
    </w:p>
    <w:p w:rsidR="00F6088D" w:rsidRPr="006C44EE" w:rsidRDefault="00F6088D" w:rsidP="006A5073">
      <w:pPr>
        <w:spacing w:after="0" w:line="240" w:lineRule="auto"/>
        <w:ind w:left="720"/>
        <w:contextualSpacing/>
        <w:jc w:val="both"/>
        <w:rPr>
          <w:rFonts w:eastAsia="Times New Roman" w:cs="Arial"/>
          <w:lang w:val="en-US"/>
        </w:rPr>
      </w:pPr>
      <w:r w:rsidRPr="006C44EE">
        <w:rPr>
          <w:rFonts w:eastAsia="Times New Roman" w:cs="Arial"/>
          <w:lang w:val="en-US"/>
        </w:rPr>
        <w:t xml:space="preserve"> </w:t>
      </w:r>
    </w:p>
    <w:p w:rsidR="00F6088D" w:rsidRPr="00F6088D" w:rsidRDefault="00F6088D" w:rsidP="006A5073">
      <w:pPr>
        <w:spacing w:after="0" w:line="240" w:lineRule="auto"/>
        <w:ind w:left="2160"/>
        <w:jc w:val="both"/>
        <w:rPr>
          <w:rFonts w:eastAsia="Times New Roman" w:cs="Arial"/>
          <w:lang w:val="en-US"/>
        </w:rPr>
      </w:pPr>
      <w:proofErr w:type="gramStart"/>
      <w:r w:rsidRPr="00F6088D">
        <w:rPr>
          <w:rFonts w:eastAsia="Times New Roman" w:cs="Arial"/>
          <w:lang w:val="en-US"/>
        </w:rPr>
        <w:t>the</w:t>
      </w:r>
      <w:proofErr w:type="gramEnd"/>
      <w:r w:rsidRPr="00F6088D">
        <w:rPr>
          <w:rFonts w:eastAsia="Times New Roman" w:cs="Arial"/>
          <w:lang w:val="en-US"/>
        </w:rPr>
        <w:t xml:space="preserve"> personal data in question; o the purpose of the processing; and o the recipients or classes of recipients; and </w:t>
      </w:r>
    </w:p>
    <w:p w:rsidR="00F6088D" w:rsidRPr="006C44EE" w:rsidRDefault="00F6088D" w:rsidP="006A5073">
      <w:pPr>
        <w:spacing w:after="0" w:line="240" w:lineRule="auto"/>
        <w:ind w:left="1080"/>
        <w:contextualSpacing/>
        <w:jc w:val="both"/>
        <w:rPr>
          <w:rFonts w:eastAsia="Times New Roman" w:cs="Arial"/>
          <w:lang w:val="en-US"/>
        </w:rPr>
      </w:pPr>
    </w:p>
    <w:p w:rsidR="00F6088D" w:rsidRPr="00F6088D" w:rsidRDefault="00F6088D" w:rsidP="006A5073">
      <w:pPr>
        <w:spacing w:after="0" w:line="240" w:lineRule="auto"/>
        <w:ind w:left="2160"/>
        <w:jc w:val="both"/>
        <w:rPr>
          <w:rFonts w:eastAsia="Times New Roman" w:cs="Arial"/>
          <w:lang w:val="en-US"/>
        </w:rPr>
      </w:pPr>
      <w:proofErr w:type="gramStart"/>
      <w:r w:rsidRPr="00F6088D">
        <w:rPr>
          <w:rFonts w:eastAsia="Times New Roman" w:cs="Arial"/>
          <w:lang w:val="en-US"/>
        </w:rPr>
        <w:t>to</w:t>
      </w:r>
      <w:proofErr w:type="gramEnd"/>
      <w:r w:rsidRPr="00F6088D">
        <w:rPr>
          <w:rFonts w:eastAsia="Times New Roman" w:cs="Arial"/>
          <w:lang w:val="en-US"/>
        </w:rPr>
        <w:t xml:space="preserve"> be given information about the source of the personal data.</w:t>
      </w:r>
    </w:p>
    <w:p w:rsidR="00F6088D" w:rsidRPr="006C44EE" w:rsidRDefault="00F6088D" w:rsidP="006A5073">
      <w:pPr>
        <w:spacing w:after="0" w:line="240" w:lineRule="auto"/>
        <w:ind w:left="1440"/>
        <w:contextualSpacing/>
        <w:jc w:val="both"/>
        <w:rPr>
          <w:rFonts w:eastAsia="Times New Roman" w:cs="Arial"/>
          <w:lang w:val="en-US"/>
        </w:rPr>
      </w:pPr>
    </w:p>
    <w:p w:rsidR="00F6088D" w:rsidRPr="006C44EE" w:rsidRDefault="00F6088D" w:rsidP="006A5073">
      <w:pPr>
        <w:numPr>
          <w:ilvl w:val="0"/>
          <w:numId w:val="1"/>
        </w:numPr>
        <w:spacing w:after="0" w:line="240" w:lineRule="auto"/>
        <w:contextualSpacing/>
        <w:jc w:val="both"/>
        <w:rPr>
          <w:rFonts w:eastAsia="Times New Roman" w:cs="Arial"/>
          <w:b/>
          <w:lang w:val="en-US"/>
        </w:rPr>
      </w:pPr>
      <w:r w:rsidRPr="006C44EE">
        <w:rPr>
          <w:rFonts w:eastAsia="Times New Roman" w:cs="Arial"/>
          <w:b/>
          <w:lang w:val="en-US"/>
        </w:rPr>
        <w:t xml:space="preserve">Example  </w:t>
      </w:r>
    </w:p>
    <w:p w:rsidR="00F6088D" w:rsidRPr="006C44EE" w:rsidRDefault="00F6088D" w:rsidP="006A5073">
      <w:pPr>
        <w:spacing w:after="0" w:line="240" w:lineRule="auto"/>
        <w:ind w:left="408"/>
        <w:contextualSpacing/>
        <w:jc w:val="both"/>
        <w:rPr>
          <w:rFonts w:eastAsia="Times New Roman" w:cs="Arial"/>
          <w:lang w:val="en-US"/>
        </w:rPr>
      </w:pPr>
    </w:p>
    <w:p w:rsidR="00F6088D" w:rsidRPr="00F6088D" w:rsidRDefault="00F6088D" w:rsidP="006A5073">
      <w:pPr>
        <w:pStyle w:val="ListParagraph"/>
        <w:numPr>
          <w:ilvl w:val="0"/>
          <w:numId w:val="10"/>
        </w:numPr>
        <w:spacing w:after="0" w:line="240" w:lineRule="auto"/>
        <w:jc w:val="both"/>
        <w:rPr>
          <w:rFonts w:eastAsia="Times New Roman" w:cs="Arial"/>
          <w:lang w:val="en-US"/>
        </w:rPr>
      </w:pPr>
      <w:r w:rsidRPr="00F6088D">
        <w:rPr>
          <w:rFonts w:eastAsia="Times New Roman" w:cs="Arial"/>
          <w:lang w:val="en-US"/>
        </w:rPr>
        <w:t xml:space="preserve">An </w:t>
      </w:r>
      <w:proofErr w:type="spellStart"/>
      <w:r w:rsidRPr="00F6088D">
        <w:rPr>
          <w:rFonts w:eastAsia="Times New Roman" w:cs="Arial"/>
          <w:lang w:val="en-US"/>
        </w:rPr>
        <w:t>organisation</w:t>
      </w:r>
      <w:proofErr w:type="spellEnd"/>
      <w:r w:rsidRPr="00F6088D">
        <w:rPr>
          <w:rFonts w:eastAsia="Times New Roman" w:cs="Arial"/>
          <w:lang w:val="en-US"/>
        </w:rPr>
        <w:t xml:space="preserve"> has decided that to supply copies of an individual’s records in permanent form would involve disproportionate effort</w:t>
      </w:r>
    </w:p>
    <w:p w:rsidR="00F6088D" w:rsidRPr="006C44EE" w:rsidRDefault="00F6088D" w:rsidP="006A5073">
      <w:pPr>
        <w:spacing w:after="0" w:line="240" w:lineRule="auto"/>
        <w:ind w:left="709"/>
        <w:contextualSpacing/>
        <w:jc w:val="both"/>
        <w:rPr>
          <w:rFonts w:eastAsia="Times New Roman" w:cs="Arial"/>
          <w:lang w:val="en-US"/>
        </w:rPr>
      </w:pPr>
    </w:p>
    <w:p w:rsidR="00F6088D" w:rsidRPr="00F6088D" w:rsidRDefault="00F6088D" w:rsidP="006A5073">
      <w:pPr>
        <w:pStyle w:val="ListParagraph"/>
        <w:numPr>
          <w:ilvl w:val="0"/>
          <w:numId w:val="10"/>
        </w:numPr>
        <w:spacing w:after="0" w:line="240" w:lineRule="auto"/>
        <w:jc w:val="both"/>
        <w:rPr>
          <w:rFonts w:eastAsia="Times New Roman" w:cs="Arial"/>
          <w:lang w:val="en-US"/>
        </w:rPr>
      </w:pPr>
      <w:r w:rsidRPr="00F6088D">
        <w:rPr>
          <w:rFonts w:eastAsia="Times New Roman" w:cs="Arial"/>
          <w:lang w:val="en-US"/>
        </w:rPr>
        <w:t>Rather than refuse the individual access, they speak to her and agree that it would be preferable if she visited their premises and viewed the original documents. They also agree that if there are documents she would like to take away with her, they can arrange to provide copies</w:t>
      </w:r>
    </w:p>
    <w:p w:rsidR="00F6088D" w:rsidRPr="006C44EE" w:rsidRDefault="00F6088D" w:rsidP="006A5073">
      <w:pPr>
        <w:spacing w:after="0" w:line="240" w:lineRule="auto"/>
        <w:rPr>
          <w:rFonts w:eastAsia="Times New Roman"/>
          <w:lang w:val="en-US"/>
        </w:rPr>
      </w:pPr>
      <w:r w:rsidRPr="006C44EE">
        <w:rPr>
          <w:rFonts w:eastAsia="Times New Roman"/>
          <w:lang w:val="en-US"/>
        </w:rPr>
        <w:t xml:space="preserve"> </w:t>
      </w:r>
    </w:p>
    <w:p w:rsidR="00F6088D" w:rsidRPr="006C44EE" w:rsidRDefault="00F6088D" w:rsidP="006A5073">
      <w:pPr>
        <w:spacing w:after="0" w:line="240" w:lineRule="auto"/>
        <w:rPr>
          <w:rFonts w:eastAsia="Times New Roman"/>
          <w:lang w:val="en-US"/>
        </w:rPr>
      </w:pPr>
    </w:p>
    <w:p w:rsidR="00F6088D" w:rsidRPr="006C44EE" w:rsidRDefault="00F6088D" w:rsidP="006A5073">
      <w:pPr>
        <w:numPr>
          <w:ilvl w:val="0"/>
          <w:numId w:val="1"/>
        </w:numPr>
        <w:spacing w:after="0" w:line="240" w:lineRule="auto"/>
        <w:contextualSpacing/>
        <w:rPr>
          <w:rFonts w:eastAsia="Times New Roman" w:cs="Arial"/>
          <w:b/>
          <w:lang w:val="en-US"/>
        </w:rPr>
      </w:pPr>
      <w:r w:rsidRPr="006C44EE">
        <w:rPr>
          <w:rFonts w:eastAsia="Times New Roman" w:cs="Arial"/>
          <w:b/>
          <w:lang w:val="en-US"/>
        </w:rPr>
        <w:t>Key things to remember</w:t>
      </w:r>
    </w:p>
    <w:p w:rsidR="00F6088D" w:rsidRPr="006C44EE" w:rsidRDefault="00F6088D" w:rsidP="006A5073">
      <w:pPr>
        <w:spacing w:after="0" w:line="240" w:lineRule="auto"/>
        <w:ind w:left="408"/>
        <w:contextualSpacing/>
        <w:rPr>
          <w:rFonts w:eastAsia="Times New Roman" w:cs="Arial"/>
          <w:b/>
          <w:lang w:val="en-US"/>
        </w:rPr>
      </w:pPr>
    </w:p>
    <w:p w:rsidR="00F6088D" w:rsidRPr="00F6088D" w:rsidRDefault="00F6088D" w:rsidP="006A5073">
      <w:pPr>
        <w:pStyle w:val="ListParagraph"/>
        <w:numPr>
          <w:ilvl w:val="0"/>
          <w:numId w:val="11"/>
        </w:numPr>
        <w:spacing w:after="0" w:line="240" w:lineRule="auto"/>
        <w:jc w:val="both"/>
        <w:rPr>
          <w:rFonts w:eastAsia="Times New Roman" w:cs="Arial"/>
          <w:lang w:val="en-US"/>
        </w:rPr>
      </w:pPr>
      <w:r w:rsidRPr="00F6088D">
        <w:rPr>
          <w:rFonts w:eastAsia="Times New Roman" w:cs="Arial"/>
          <w:lang w:val="en-US"/>
        </w:rPr>
        <w:t>Where the disproportionate effort argument is used this is NOT a reason for not seeking to respond to a request</w:t>
      </w:r>
    </w:p>
    <w:p w:rsidR="00F6088D" w:rsidRPr="006C44EE" w:rsidRDefault="00F6088D" w:rsidP="006A5073">
      <w:pPr>
        <w:spacing w:after="0" w:line="240" w:lineRule="auto"/>
        <w:jc w:val="both"/>
        <w:rPr>
          <w:rFonts w:eastAsia="Times New Roman" w:cs="Arial"/>
          <w:lang w:val="en-US"/>
        </w:rPr>
      </w:pPr>
    </w:p>
    <w:p w:rsidR="00F6088D" w:rsidRPr="00F6088D" w:rsidRDefault="00F6088D" w:rsidP="006A5073">
      <w:pPr>
        <w:pStyle w:val="ListParagraph"/>
        <w:numPr>
          <w:ilvl w:val="0"/>
          <w:numId w:val="11"/>
        </w:numPr>
        <w:spacing w:after="0" w:line="240" w:lineRule="auto"/>
        <w:jc w:val="both"/>
        <w:rPr>
          <w:rFonts w:eastAsia="Times New Roman" w:cs="Arial"/>
          <w:lang w:val="en-US"/>
        </w:rPr>
      </w:pPr>
      <w:r w:rsidRPr="00F6088D">
        <w:rPr>
          <w:rFonts w:eastAsia="Times New Roman" w:cs="Arial"/>
          <w:lang w:val="en-US"/>
        </w:rPr>
        <w:t xml:space="preserve">This is about recognizing the difficulties that an </w:t>
      </w:r>
      <w:proofErr w:type="spellStart"/>
      <w:r w:rsidRPr="00F6088D">
        <w:rPr>
          <w:rFonts w:eastAsia="Times New Roman" w:cs="Arial"/>
          <w:lang w:val="en-US"/>
        </w:rPr>
        <w:t>organisation</w:t>
      </w:r>
      <w:proofErr w:type="spellEnd"/>
      <w:r w:rsidRPr="00F6088D">
        <w:rPr>
          <w:rFonts w:eastAsia="Times New Roman" w:cs="Arial"/>
          <w:lang w:val="en-US"/>
        </w:rPr>
        <w:t xml:space="preserve"> at times may have in finding information and providing a constructive approach that recognizes this </w:t>
      </w:r>
    </w:p>
    <w:p w:rsidR="00F6088D" w:rsidRPr="006C44EE" w:rsidRDefault="00F6088D" w:rsidP="006A5073">
      <w:pPr>
        <w:spacing w:after="0" w:line="240" w:lineRule="auto"/>
        <w:contextualSpacing/>
        <w:jc w:val="both"/>
        <w:rPr>
          <w:rFonts w:eastAsia="Times New Roman" w:cs="Arial"/>
          <w:lang w:val="en-US"/>
        </w:rPr>
      </w:pPr>
    </w:p>
    <w:p w:rsidR="00F6088D" w:rsidRPr="00F6088D" w:rsidRDefault="00F6088D" w:rsidP="006A5073">
      <w:pPr>
        <w:pStyle w:val="ListParagraph"/>
        <w:numPr>
          <w:ilvl w:val="0"/>
          <w:numId w:val="11"/>
        </w:numPr>
        <w:spacing w:after="0" w:line="240" w:lineRule="auto"/>
        <w:jc w:val="both"/>
        <w:rPr>
          <w:rFonts w:eastAsia="Times New Roman" w:cs="Arial"/>
          <w:lang w:val="en-US"/>
        </w:rPr>
      </w:pPr>
      <w:r w:rsidRPr="00F6088D">
        <w:rPr>
          <w:rFonts w:eastAsia="Times New Roman" w:cs="Arial"/>
          <w:lang w:val="en-US"/>
        </w:rPr>
        <w:t xml:space="preserve">The applicant still has the right of appeal and an </w:t>
      </w:r>
      <w:proofErr w:type="spellStart"/>
      <w:r w:rsidRPr="00F6088D">
        <w:rPr>
          <w:rFonts w:eastAsia="Times New Roman" w:cs="Arial"/>
          <w:lang w:val="en-US"/>
        </w:rPr>
        <w:t>organisation</w:t>
      </w:r>
      <w:proofErr w:type="spellEnd"/>
      <w:r w:rsidRPr="00F6088D">
        <w:rPr>
          <w:rFonts w:eastAsia="Times New Roman" w:cs="Arial"/>
          <w:lang w:val="en-US"/>
        </w:rPr>
        <w:t xml:space="preserve"> MUST be able to demonstrate the structured approach that it has taken if the disproportionate effort argument is used</w:t>
      </w:r>
    </w:p>
    <w:p w:rsidR="00F6088D" w:rsidRDefault="00F6088D" w:rsidP="00CC5B08"/>
    <w:sectPr w:rsidR="00F60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38C"/>
    <w:multiLevelType w:val="hybridMultilevel"/>
    <w:tmpl w:val="BE1A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92A38"/>
    <w:multiLevelType w:val="hybridMultilevel"/>
    <w:tmpl w:val="9DAE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132DC"/>
    <w:multiLevelType w:val="hybridMultilevel"/>
    <w:tmpl w:val="B33E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985798"/>
    <w:multiLevelType w:val="hybridMultilevel"/>
    <w:tmpl w:val="6B4C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192A93"/>
    <w:multiLevelType w:val="hybridMultilevel"/>
    <w:tmpl w:val="1674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AB50BB"/>
    <w:multiLevelType w:val="hybridMultilevel"/>
    <w:tmpl w:val="9BDA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C24609"/>
    <w:multiLevelType w:val="hybridMultilevel"/>
    <w:tmpl w:val="0C48799E"/>
    <w:lvl w:ilvl="0" w:tplc="08090003">
      <w:start w:val="1"/>
      <w:numFmt w:val="bullet"/>
      <w:lvlText w:val="o"/>
      <w:lvlJc w:val="left"/>
      <w:pPr>
        <w:ind w:left="1080" w:hanging="360"/>
      </w:pPr>
      <w:rPr>
        <w:rFonts w:ascii="Courier New" w:hAnsi="Courier New"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7">
    <w:nsid w:val="50DC4041"/>
    <w:multiLevelType w:val="hybridMultilevel"/>
    <w:tmpl w:val="13144274"/>
    <w:lvl w:ilvl="0" w:tplc="B4408F4E">
      <w:start w:val="1"/>
      <w:numFmt w:val="decimal"/>
      <w:lvlText w:val="%1."/>
      <w:lvlJc w:val="left"/>
      <w:pPr>
        <w:ind w:left="408" w:hanging="360"/>
      </w:pPr>
      <w:rPr>
        <w:rFonts w:cs="Times New Roman"/>
      </w:rPr>
    </w:lvl>
    <w:lvl w:ilvl="1" w:tplc="08090019">
      <w:start w:val="1"/>
      <w:numFmt w:val="lowerLetter"/>
      <w:lvlText w:val="%2."/>
      <w:lvlJc w:val="left"/>
      <w:pPr>
        <w:ind w:left="1128" w:hanging="360"/>
      </w:pPr>
      <w:rPr>
        <w:rFonts w:cs="Times New Roman"/>
      </w:rPr>
    </w:lvl>
    <w:lvl w:ilvl="2" w:tplc="0809001B">
      <w:start w:val="1"/>
      <w:numFmt w:val="lowerRoman"/>
      <w:lvlText w:val="%3."/>
      <w:lvlJc w:val="right"/>
      <w:pPr>
        <w:ind w:left="1848" w:hanging="180"/>
      </w:pPr>
      <w:rPr>
        <w:rFonts w:cs="Times New Roman"/>
      </w:rPr>
    </w:lvl>
    <w:lvl w:ilvl="3" w:tplc="0809000F">
      <w:start w:val="1"/>
      <w:numFmt w:val="decimal"/>
      <w:lvlText w:val="%4."/>
      <w:lvlJc w:val="left"/>
      <w:pPr>
        <w:ind w:left="2568" w:hanging="360"/>
      </w:pPr>
      <w:rPr>
        <w:rFonts w:cs="Times New Roman"/>
      </w:rPr>
    </w:lvl>
    <w:lvl w:ilvl="4" w:tplc="08090019">
      <w:start w:val="1"/>
      <w:numFmt w:val="lowerLetter"/>
      <w:lvlText w:val="%5."/>
      <w:lvlJc w:val="left"/>
      <w:pPr>
        <w:ind w:left="3288" w:hanging="360"/>
      </w:pPr>
      <w:rPr>
        <w:rFonts w:cs="Times New Roman"/>
      </w:rPr>
    </w:lvl>
    <w:lvl w:ilvl="5" w:tplc="0809001B">
      <w:start w:val="1"/>
      <w:numFmt w:val="lowerRoman"/>
      <w:lvlText w:val="%6."/>
      <w:lvlJc w:val="right"/>
      <w:pPr>
        <w:ind w:left="4008" w:hanging="180"/>
      </w:pPr>
      <w:rPr>
        <w:rFonts w:cs="Times New Roman"/>
      </w:rPr>
    </w:lvl>
    <w:lvl w:ilvl="6" w:tplc="0809000F">
      <w:start w:val="1"/>
      <w:numFmt w:val="decimal"/>
      <w:lvlText w:val="%7."/>
      <w:lvlJc w:val="left"/>
      <w:pPr>
        <w:ind w:left="4728" w:hanging="360"/>
      </w:pPr>
      <w:rPr>
        <w:rFonts w:cs="Times New Roman"/>
      </w:rPr>
    </w:lvl>
    <w:lvl w:ilvl="7" w:tplc="08090019">
      <w:start w:val="1"/>
      <w:numFmt w:val="lowerLetter"/>
      <w:lvlText w:val="%8."/>
      <w:lvlJc w:val="left"/>
      <w:pPr>
        <w:ind w:left="5448" w:hanging="360"/>
      </w:pPr>
      <w:rPr>
        <w:rFonts w:cs="Times New Roman"/>
      </w:rPr>
    </w:lvl>
    <w:lvl w:ilvl="8" w:tplc="0809001B">
      <w:start w:val="1"/>
      <w:numFmt w:val="lowerRoman"/>
      <w:lvlText w:val="%9."/>
      <w:lvlJc w:val="right"/>
      <w:pPr>
        <w:ind w:left="6168" w:hanging="180"/>
      </w:pPr>
      <w:rPr>
        <w:rFonts w:cs="Times New Roman"/>
      </w:rPr>
    </w:lvl>
  </w:abstractNum>
  <w:abstractNum w:abstractNumId="8">
    <w:nsid w:val="66A51CA1"/>
    <w:multiLevelType w:val="hybridMultilevel"/>
    <w:tmpl w:val="0DA61404"/>
    <w:lvl w:ilvl="0" w:tplc="08090003">
      <w:start w:val="1"/>
      <w:numFmt w:val="bullet"/>
      <w:lvlText w:val="o"/>
      <w:lvlJc w:val="left"/>
      <w:pPr>
        <w:ind w:left="1128" w:hanging="360"/>
      </w:pPr>
      <w:rPr>
        <w:rFonts w:ascii="Courier New" w:hAnsi="Courier New" w:cs="Times New Roman" w:hint="default"/>
      </w:rPr>
    </w:lvl>
    <w:lvl w:ilvl="1" w:tplc="08090003">
      <w:start w:val="1"/>
      <w:numFmt w:val="bullet"/>
      <w:lvlText w:val="o"/>
      <w:lvlJc w:val="left"/>
      <w:pPr>
        <w:ind w:left="1848" w:hanging="360"/>
      </w:pPr>
      <w:rPr>
        <w:rFonts w:ascii="Courier New" w:hAnsi="Courier New" w:cs="Times New Roman"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Times New Roman"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Times New Roman" w:hint="default"/>
      </w:rPr>
    </w:lvl>
    <w:lvl w:ilvl="8" w:tplc="08090005">
      <w:start w:val="1"/>
      <w:numFmt w:val="bullet"/>
      <w:lvlText w:val=""/>
      <w:lvlJc w:val="left"/>
      <w:pPr>
        <w:ind w:left="6888" w:hanging="360"/>
      </w:pPr>
      <w:rPr>
        <w:rFonts w:ascii="Wingdings" w:hAnsi="Wingdings" w:hint="default"/>
      </w:rPr>
    </w:lvl>
  </w:abstractNum>
  <w:abstractNum w:abstractNumId="9">
    <w:nsid w:val="6E9F066D"/>
    <w:multiLevelType w:val="hybridMultilevel"/>
    <w:tmpl w:val="4D96EAD2"/>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7"/>
  </w:num>
  <w:num w:numId="6">
    <w:abstractNumId w:val="3"/>
  </w:num>
  <w:num w:numId="7">
    <w:abstractNumId w:val="2"/>
  </w:num>
  <w:num w:numId="8">
    <w:abstractNumId w:val="4"/>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08"/>
    <w:rsid w:val="0056409F"/>
    <w:rsid w:val="006A5073"/>
    <w:rsid w:val="007474F8"/>
    <w:rsid w:val="00BF0329"/>
    <w:rsid w:val="00CC5B08"/>
    <w:rsid w:val="00F60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08"/>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basedOn w:val="DefaultParagraphFont"/>
    <w:uiPriority w:val="99"/>
    <w:unhideWhenUsed/>
    <w:rsid w:val="00CC5B08"/>
    <w:rPr>
      <w:rFonts w:ascii="Times New Roman" w:hAnsi="Times New Roman" w:cs="Times New Roman" w:hint="default"/>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08"/>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basedOn w:val="DefaultParagraphFont"/>
    <w:uiPriority w:val="99"/>
    <w:unhideWhenUsed/>
    <w:rsid w:val="00CC5B08"/>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media/for-organisations/documents/2014223/subject-access-code-of-practic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4</cp:revision>
  <dcterms:created xsi:type="dcterms:W3CDTF">2018-05-17T11:09:00Z</dcterms:created>
  <dcterms:modified xsi:type="dcterms:W3CDTF">2018-05-22T11:12:00Z</dcterms:modified>
</cp:coreProperties>
</file>