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2588FD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93CC6D5" w14:textId="77777777" w:rsidR="00FE2DAC" w:rsidRDefault="00FE2DA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Southfield Way Surgery</w:t>
      </w:r>
    </w:p>
    <w:p w14:paraId="18579031" w14:textId="53D4082D" w:rsidR="00754729" w:rsidRPr="005E1E0E" w:rsidRDefault="00FE2DA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2a Southfield Way, Great </w:t>
      </w:r>
      <w:proofErr w:type="spellStart"/>
      <w:r>
        <w:rPr>
          <w:rFonts w:ascii="Arial" w:hAnsi="Arial" w:cs="Arial"/>
          <w:b/>
          <w:bCs/>
          <w:sz w:val="20"/>
          <w:szCs w:val="20"/>
          <w:lang w:eastAsia="en-GB"/>
        </w:rPr>
        <w:t>Wyrley</w:t>
      </w:r>
      <w:proofErr w:type="spellEnd"/>
      <w:r>
        <w:rPr>
          <w:rFonts w:ascii="Arial" w:hAnsi="Arial" w:cs="Arial"/>
          <w:b/>
          <w:bCs/>
          <w:sz w:val="20"/>
          <w:szCs w:val="20"/>
          <w:lang w:eastAsia="en-GB"/>
        </w:rPr>
        <w:t>, Walsall, WS6 6JZ</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B2D5441"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w:t>
      </w:r>
      <w:r w:rsidR="00FE2DAC">
        <w:rPr>
          <w:rFonts w:ascii="Arial" w:hAnsi="Arial" w:cs="Arial"/>
          <w:sz w:val="20"/>
          <w:szCs w:val="20"/>
        </w:rPr>
        <w:t xml:space="preserve"> Southfield Way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40DBCCA" w:rsidR="00E37206" w:rsidRPr="005E1E0E" w:rsidRDefault="00FE2DAC" w:rsidP="00E37206">
      <w:pPr>
        <w:widowControl w:val="0"/>
        <w:spacing w:after="280"/>
        <w:rPr>
          <w:rFonts w:ascii="Arial" w:hAnsi="Arial" w:cs="Arial"/>
          <w:sz w:val="20"/>
          <w:szCs w:val="20"/>
        </w:rPr>
      </w:pPr>
      <w:r>
        <w:rPr>
          <w:rFonts w:ascii="Arial" w:hAnsi="Arial" w:cs="Arial"/>
          <w:sz w:val="20"/>
          <w:szCs w:val="20"/>
        </w:rPr>
        <w:t>Southfield Way Surgery</w:t>
      </w:r>
      <w:r>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E2DAC"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2E9DF5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E2DAC">
        <w:rPr>
          <w:rFonts w:ascii="Arial" w:hAnsi="Arial" w:cs="Arial"/>
          <w:sz w:val="20"/>
          <w:szCs w:val="20"/>
        </w:rPr>
        <w:t>Southfield Way Surgery</w:t>
      </w:r>
      <w:bookmarkStart w:id="1" w:name="_GoBack"/>
      <w:bookmarkEnd w:id="1"/>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E2DAC"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E2DAC"/>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F399-6A48-4338-9C80-9BF0F6DC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4199</Words>
  <Characters>23940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dubbki</cp:lastModifiedBy>
  <cp:revision>2</cp:revision>
  <cp:lastPrinted>2019-06-27T09:06:00Z</cp:lastPrinted>
  <dcterms:created xsi:type="dcterms:W3CDTF">2019-06-27T09:33:00Z</dcterms:created>
  <dcterms:modified xsi:type="dcterms:W3CDTF">2019-06-27T09:33:00Z</dcterms:modified>
</cp:coreProperties>
</file>