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8D55B0">
            <w:pPr>
              <w:ind w:left="105"/>
              <w:jc w:val="both"/>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1C3B6101" w:rsidR="008B38A0" w:rsidRDefault="008B38A0" w:rsidP="001C1298">
            <w:pPr>
              <w:spacing w:after="0"/>
              <w:ind w:left="105"/>
              <w:jc w:val="both"/>
              <w:rPr>
                <w:rFonts w:cstheme="minorHAnsi"/>
                <w:sz w:val="24"/>
                <w:szCs w:val="24"/>
              </w:rPr>
            </w:pPr>
            <w:r w:rsidRPr="00CF2046">
              <w:rPr>
                <w:rFonts w:cstheme="minorHAnsi"/>
                <w:sz w:val="24"/>
                <w:szCs w:val="24"/>
              </w:rPr>
              <w:t xml:space="preserve">The law requires </w:t>
            </w:r>
            <w:r w:rsidR="00597616">
              <w:rPr>
                <w:rFonts w:cstheme="minorHAnsi"/>
                <w:sz w:val="24"/>
                <w:szCs w:val="24"/>
              </w:rPr>
              <w:t>PWE Healthcare</w:t>
            </w:r>
            <w:r w:rsidRPr="001C1298">
              <w:rPr>
                <w:rFonts w:cstheme="minorHAnsi"/>
                <w:sz w:val="24"/>
                <w:szCs w:val="24"/>
              </w:rPr>
              <w:t xml:space="preserve"> to </w:t>
            </w:r>
            <w:r w:rsidRPr="00CF2046">
              <w:rPr>
                <w:rFonts w:cstheme="minorHAnsi"/>
                <w:sz w:val="24"/>
                <w:szCs w:val="24"/>
              </w:rPr>
              <w:t>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1C1298">
            <w:pPr>
              <w:spacing w:after="0"/>
              <w:ind w:left="105"/>
              <w:jc w:val="both"/>
              <w:rPr>
                <w:rFonts w:cstheme="minorHAnsi"/>
                <w:sz w:val="24"/>
                <w:szCs w:val="24"/>
              </w:rPr>
            </w:pPr>
          </w:p>
          <w:p w14:paraId="0A0CD762" w14:textId="77777777" w:rsidR="008B38A0" w:rsidRPr="00CD07D7" w:rsidRDefault="008B38A0" w:rsidP="001C1298">
            <w:pPr>
              <w:pStyle w:val="ListParagraph"/>
              <w:numPr>
                <w:ilvl w:val="0"/>
                <w:numId w:val="1"/>
              </w:numPr>
              <w:spacing w:after="0"/>
              <w:ind w:left="825"/>
              <w:jc w:val="both"/>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1C1298">
            <w:pPr>
              <w:pStyle w:val="ListParagraph"/>
              <w:numPr>
                <w:ilvl w:val="0"/>
                <w:numId w:val="1"/>
              </w:numPr>
              <w:spacing w:after="0"/>
              <w:ind w:left="825"/>
              <w:jc w:val="both"/>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1C1298">
            <w:pPr>
              <w:pStyle w:val="ListParagraph"/>
              <w:numPr>
                <w:ilvl w:val="0"/>
                <w:numId w:val="1"/>
              </w:numPr>
              <w:spacing w:after="0"/>
              <w:ind w:left="825"/>
              <w:jc w:val="both"/>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1C1298">
            <w:pPr>
              <w:pStyle w:val="ListParagraph"/>
              <w:spacing w:after="0"/>
              <w:ind w:left="825"/>
              <w:jc w:val="both"/>
              <w:rPr>
                <w:rFonts w:cstheme="minorHAnsi"/>
                <w:sz w:val="24"/>
                <w:szCs w:val="24"/>
              </w:rPr>
            </w:pPr>
          </w:p>
          <w:p w14:paraId="236F6237" w14:textId="77777777" w:rsidR="008B38A0" w:rsidRDefault="008B38A0" w:rsidP="001C1298">
            <w:pPr>
              <w:spacing w:after="0"/>
              <w:ind w:left="105"/>
              <w:jc w:val="both"/>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1C1298">
            <w:pPr>
              <w:spacing w:after="0"/>
              <w:ind w:left="105"/>
              <w:jc w:val="both"/>
              <w:rPr>
                <w:rFonts w:cstheme="minorHAnsi"/>
                <w:sz w:val="24"/>
                <w:szCs w:val="24"/>
              </w:rPr>
            </w:pPr>
          </w:p>
          <w:p w14:paraId="3AF74609" w14:textId="77777777" w:rsidR="008B38A0" w:rsidRDefault="008B38A0" w:rsidP="001C1298">
            <w:pPr>
              <w:ind w:left="105"/>
              <w:jc w:val="both"/>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1C1298">
            <w:pPr>
              <w:jc w:val="both"/>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Pr="008D55B0" w:rsidRDefault="008B38A0" w:rsidP="008D55B0">
            <w:pPr>
              <w:pStyle w:val="ListParagraph"/>
              <w:numPr>
                <w:ilvl w:val="0"/>
                <w:numId w:val="10"/>
              </w:numPr>
              <w:spacing w:after="0"/>
              <w:jc w:val="both"/>
              <w:rPr>
                <w:rFonts w:cstheme="minorHAnsi"/>
                <w:sz w:val="24"/>
                <w:szCs w:val="24"/>
              </w:rPr>
            </w:pPr>
            <w:r w:rsidRPr="008D55B0">
              <w:rPr>
                <w:rFonts w:cstheme="minorHAnsi"/>
                <w:sz w:val="24"/>
                <w:szCs w:val="24"/>
              </w:rPr>
              <w:t>NHS Digital is a national body which has legal responsibilities to collect information about health and social care services.</w:t>
            </w:r>
          </w:p>
          <w:p w14:paraId="2E59F7E8" w14:textId="3D2A363B" w:rsidR="008B38A0" w:rsidRPr="003474D4" w:rsidRDefault="008B38A0" w:rsidP="008D55B0">
            <w:pPr>
              <w:spacing w:after="0"/>
              <w:ind w:left="495"/>
              <w:jc w:val="both"/>
              <w:rPr>
                <w:rFonts w:cstheme="minorHAnsi"/>
                <w:sz w:val="24"/>
                <w:szCs w:val="24"/>
              </w:rPr>
            </w:pPr>
          </w:p>
          <w:p w14:paraId="4C88475D" w14:textId="77777777" w:rsidR="008B38A0" w:rsidRPr="008D55B0" w:rsidRDefault="008B38A0" w:rsidP="008D55B0">
            <w:pPr>
              <w:pStyle w:val="ListParagraph"/>
              <w:numPr>
                <w:ilvl w:val="0"/>
                <w:numId w:val="10"/>
              </w:numPr>
              <w:spacing w:after="0"/>
              <w:jc w:val="both"/>
              <w:rPr>
                <w:rFonts w:cstheme="minorHAnsi"/>
                <w:sz w:val="24"/>
                <w:szCs w:val="24"/>
              </w:rPr>
            </w:pPr>
            <w:r w:rsidRPr="008D55B0">
              <w:rPr>
                <w:rFonts w:cstheme="minorHAnsi"/>
                <w:sz w:val="24"/>
                <w:szCs w:val="24"/>
              </w:rPr>
              <w:t>It collects information from across the NHS in England and provides reports on how the NHS is performing. These reports help to plan and improve services to patients.</w:t>
            </w:r>
          </w:p>
          <w:p w14:paraId="23268A96" w14:textId="176F5199" w:rsidR="008B38A0" w:rsidRPr="003474D4" w:rsidRDefault="008B38A0" w:rsidP="008D55B0">
            <w:pPr>
              <w:spacing w:after="0"/>
              <w:ind w:left="195"/>
              <w:jc w:val="both"/>
              <w:rPr>
                <w:rFonts w:cstheme="minorHAnsi"/>
                <w:sz w:val="24"/>
                <w:szCs w:val="24"/>
              </w:rPr>
            </w:pPr>
          </w:p>
          <w:p w14:paraId="189F6121" w14:textId="77777777" w:rsidR="008B38A0" w:rsidRPr="008D55B0" w:rsidRDefault="008B38A0" w:rsidP="008D55B0">
            <w:pPr>
              <w:pStyle w:val="ListParagraph"/>
              <w:numPr>
                <w:ilvl w:val="0"/>
                <w:numId w:val="10"/>
              </w:numPr>
              <w:spacing w:after="0"/>
              <w:jc w:val="both"/>
              <w:rPr>
                <w:rFonts w:cstheme="minorHAnsi"/>
                <w:sz w:val="24"/>
                <w:szCs w:val="24"/>
              </w:rPr>
            </w:pPr>
            <w:r w:rsidRPr="008D55B0">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8D55B0">
            <w:pPr>
              <w:spacing w:after="0"/>
              <w:ind w:left="75"/>
              <w:jc w:val="both"/>
              <w:rPr>
                <w:rFonts w:cstheme="minorHAnsi"/>
                <w:sz w:val="24"/>
                <w:szCs w:val="24"/>
              </w:rPr>
            </w:pPr>
          </w:p>
          <w:p w14:paraId="6FF9278D" w14:textId="77777777" w:rsidR="008B38A0" w:rsidRPr="008D55B0" w:rsidRDefault="008B38A0" w:rsidP="008D55B0">
            <w:pPr>
              <w:pStyle w:val="ListParagraph"/>
              <w:numPr>
                <w:ilvl w:val="0"/>
                <w:numId w:val="10"/>
              </w:numPr>
              <w:spacing w:after="0"/>
              <w:jc w:val="both"/>
              <w:rPr>
                <w:rFonts w:cstheme="minorHAnsi"/>
                <w:sz w:val="24"/>
                <w:szCs w:val="24"/>
              </w:rPr>
            </w:pPr>
            <w:r w:rsidRPr="008D55B0">
              <w:rPr>
                <w:sz w:val="24"/>
                <w:szCs w:val="24"/>
              </w:rPr>
              <w:t xml:space="preserve">More information about NHS Digital and how it uses information can be found at: </w:t>
            </w:r>
          </w:p>
          <w:p w14:paraId="446F49E1" w14:textId="77777777" w:rsidR="008B38A0" w:rsidRPr="008D55B0" w:rsidRDefault="00597616" w:rsidP="008D55B0">
            <w:pPr>
              <w:pStyle w:val="ListParagraph"/>
              <w:numPr>
                <w:ilvl w:val="1"/>
                <w:numId w:val="10"/>
              </w:numPr>
              <w:spacing w:after="0"/>
              <w:jc w:val="both"/>
              <w:rPr>
                <w:rStyle w:val="Hyperlink"/>
                <w:color w:val="0070C0"/>
                <w:sz w:val="24"/>
                <w:szCs w:val="24"/>
              </w:rPr>
            </w:pPr>
            <w:hyperlink r:id="rId9" w:history="1">
              <w:r w:rsidR="008B38A0" w:rsidRPr="008D55B0">
                <w:rPr>
                  <w:rStyle w:val="Hyperlink"/>
                  <w:color w:val="0070C0"/>
                  <w:sz w:val="24"/>
                  <w:szCs w:val="24"/>
                </w:rPr>
                <w:t>https://digital.nhs.uk/home</w:t>
              </w:r>
            </w:hyperlink>
          </w:p>
          <w:p w14:paraId="7C7207BD" w14:textId="77777777" w:rsidR="008B38A0" w:rsidRDefault="008B38A0" w:rsidP="008D55B0">
            <w:pPr>
              <w:pStyle w:val="ListParagraph"/>
              <w:spacing w:after="0"/>
              <w:jc w:val="both"/>
              <w:rPr>
                <w:rStyle w:val="Hyperlink"/>
                <w:color w:val="0070C0"/>
                <w:sz w:val="24"/>
                <w:szCs w:val="24"/>
              </w:rPr>
            </w:pPr>
          </w:p>
          <w:p w14:paraId="3D9FD70B" w14:textId="77777777" w:rsidR="008B38A0" w:rsidRPr="008D55B0" w:rsidRDefault="008B38A0" w:rsidP="008D55B0">
            <w:pPr>
              <w:pStyle w:val="ListParagraph"/>
              <w:numPr>
                <w:ilvl w:val="0"/>
                <w:numId w:val="10"/>
              </w:numPr>
              <w:spacing w:after="0"/>
              <w:jc w:val="both"/>
              <w:rPr>
                <w:sz w:val="24"/>
                <w:szCs w:val="24"/>
                <w:u w:val="single"/>
              </w:rPr>
            </w:pPr>
            <w:r w:rsidRPr="008D55B0">
              <w:rPr>
                <w:sz w:val="24"/>
                <w:szCs w:val="24"/>
              </w:rPr>
              <w:t xml:space="preserve">NHS Digital sometimes shares names and addresses of patients suspected of committing immigration offences with the Home Office. More information on this can be found here: </w:t>
            </w:r>
            <w:hyperlink r:id="rId10" w:history="1">
              <w:r w:rsidRPr="008D55B0">
                <w:rPr>
                  <w:rStyle w:val="Hyperlink"/>
                  <w:sz w:val="24"/>
                  <w:szCs w:val="24"/>
                </w:rPr>
                <w:t>https://www.gov.uk/government/publications/information-requests-from-the-home-office-to-nhs-digital</w:t>
              </w:r>
            </w:hyperlink>
          </w:p>
          <w:p w14:paraId="3809A4BA" w14:textId="77777777" w:rsidR="008B38A0" w:rsidRPr="00D52AAE" w:rsidRDefault="008B38A0" w:rsidP="001C1298">
            <w:pPr>
              <w:spacing w:after="0"/>
              <w:jc w:val="both"/>
              <w:rPr>
                <w:rFonts w:cstheme="minorHAnsi"/>
                <w:sz w:val="24"/>
                <w:szCs w:val="24"/>
              </w:rPr>
            </w:pPr>
          </w:p>
        </w:tc>
      </w:tr>
    </w:tbl>
    <w:p w14:paraId="7CA7B676" w14:textId="77777777" w:rsidR="008B38A0" w:rsidRPr="00CF2046" w:rsidRDefault="008B38A0" w:rsidP="001C1298">
      <w:pPr>
        <w:jc w:val="both"/>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1C1298">
            <w:pPr>
              <w:ind w:left="75"/>
              <w:jc w:val="both"/>
              <w:rPr>
                <w:b/>
                <w:sz w:val="28"/>
                <w:szCs w:val="28"/>
              </w:rPr>
            </w:pPr>
            <w:r w:rsidRPr="003474D4">
              <w:rPr>
                <w:b/>
                <w:sz w:val="28"/>
                <w:szCs w:val="28"/>
              </w:rPr>
              <w:lastRenderedPageBreak/>
              <w:t>Care Quality Commission (CQC)</w:t>
            </w:r>
          </w:p>
          <w:p w14:paraId="7E26DE1D" w14:textId="77777777" w:rsidR="008B38A0" w:rsidRDefault="008B38A0" w:rsidP="001C1298">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1C1298">
            <w:pPr>
              <w:pStyle w:val="ListParagraph"/>
              <w:spacing w:after="0"/>
              <w:ind w:left="714"/>
              <w:jc w:val="both"/>
              <w:rPr>
                <w:rFonts w:cstheme="minorHAnsi"/>
                <w:sz w:val="24"/>
                <w:szCs w:val="24"/>
              </w:rPr>
            </w:pPr>
          </w:p>
          <w:p w14:paraId="62721BAE" w14:textId="77777777" w:rsidR="008B38A0" w:rsidRDefault="008B38A0" w:rsidP="001C1298">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1C1298">
            <w:pPr>
              <w:spacing w:after="0"/>
              <w:jc w:val="both"/>
              <w:rPr>
                <w:rFonts w:cstheme="minorHAnsi"/>
                <w:sz w:val="24"/>
                <w:szCs w:val="24"/>
              </w:rPr>
            </w:pPr>
          </w:p>
          <w:p w14:paraId="7193061A" w14:textId="77777777" w:rsidR="008B38A0" w:rsidRPr="003474D4" w:rsidRDefault="008B38A0" w:rsidP="001C1298">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1C1298">
            <w:pPr>
              <w:jc w:val="both"/>
              <w:rPr>
                <w:rFonts w:cstheme="minorHAnsi"/>
                <w:sz w:val="24"/>
                <w:szCs w:val="24"/>
              </w:rPr>
            </w:pPr>
            <w:r w:rsidRPr="00CF2046">
              <w:rPr>
                <w:rFonts w:cstheme="minorHAnsi"/>
                <w:sz w:val="24"/>
                <w:szCs w:val="24"/>
              </w:rPr>
              <w:br w:type="page"/>
            </w:r>
          </w:p>
          <w:p w14:paraId="23588229" w14:textId="77777777" w:rsidR="008B38A0" w:rsidRDefault="008B38A0" w:rsidP="001C1298">
            <w:pPr>
              <w:jc w:val="both"/>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1C1298">
            <w:pPr>
              <w:pStyle w:val="ListParagraph"/>
              <w:numPr>
                <w:ilvl w:val="0"/>
                <w:numId w:val="5"/>
              </w:numPr>
              <w:ind w:left="750"/>
              <w:jc w:val="both"/>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1C1298">
            <w:pPr>
              <w:pStyle w:val="ListParagraph"/>
              <w:ind w:left="750"/>
              <w:jc w:val="both"/>
              <w:rPr>
                <w:sz w:val="24"/>
                <w:szCs w:val="24"/>
              </w:rPr>
            </w:pPr>
          </w:p>
          <w:p w14:paraId="7161EE5A" w14:textId="77777777" w:rsidR="008B38A0" w:rsidRDefault="008B38A0" w:rsidP="001C1298">
            <w:pPr>
              <w:pStyle w:val="ListParagraph"/>
              <w:numPr>
                <w:ilvl w:val="0"/>
                <w:numId w:val="5"/>
              </w:numPr>
              <w:spacing w:after="0"/>
              <w:ind w:left="744" w:hanging="357"/>
              <w:jc w:val="both"/>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1C1298">
            <w:pPr>
              <w:spacing w:after="0"/>
              <w:ind w:left="30"/>
              <w:jc w:val="both"/>
              <w:rPr>
                <w:sz w:val="24"/>
                <w:szCs w:val="24"/>
              </w:rPr>
            </w:pPr>
          </w:p>
          <w:p w14:paraId="43B11741" w14:textId="77777777" w:rsidR="008B38A0" w:rsidRPr="00936B47" w:rsidRDefault="008B38A0" w:rsidP="001C1298">
            <w:pPr>
              <w:pStyle w:val="ListParagraph"/>
              <w:numPr>
                <w:ilvl w:val="0"/>
                <w:numId w:val="5"/>
              </w:numPr>
              <w:jc w:val="both"/>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3BF2F21C" w:rsidR="008B38A0" w:rsidRPr="006E5EB2" w:rsidRDefault="00597616" w:rsidP="008D55B0">
            <w:pPr>
              <w:jc w:val="both"/>
              <w:rPr>
                <w:rFonts w:cstheme="minorHAnsi"/>
                <w:color w:val="FF0000"/>
                <w:lang w:eastAsia="en-GB"/>
              </w:rPr>
            </w:pPr>
            <w:r>
              <w:rPr>
                <w:rFonts w:cstheme="minorHAnsi"/>
                <w:lang w:eastAsia="en-GB"/>
              </w:rPr>
              <w:t>PWE Healthcare</w:t>
            </w:r>
          </w:p>
          <w:p w14:paraId="00CEE3A0" w14:textId="77777777" w:rsidR="008B38A0" w:rsidRPr="006E5EB2" w:rsidRDefault="008B38A0" w:rsidP="001C1298">
            <w:pPr>
              <w:jc w:val="both"/>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19B0E09C" w14:textId="77777777" w:rsidR="003945EC" w:rsidRPr="00023349" w:rsidRDefault="003945EC" w:rsidP="003945EC">
            <w:pPr>
              <w:jc w:val="both"/>
              <w:rPr>
                <w:rFonts w:cstheme="minorHAnsi"/>
                <w:lang w:eastAsia="en-GB"/>
              </w:rPr>
            </w:pPr>
            <w:r w:rsidRPr="00023349">
              <w:rPr>
                <w:rFonts w:cstheme="minorHAnsi"/>
                <w:lang w:eastAsia="en-GB"/>
              </w:rPr>
              <w:t>Interim DPO:</w:t>
            </w:r>
          </w:p>
          <w:p w14:paraId="31A58096" w14:textId="77777777" w:rsidR="003945EC" w:rsidRDefault="003945EC" w:rsidP="003945EC">
            <w:pPr>
              <w:jc w:val="both"/>
              <w:rPr>
                <w:rFonts w:cstheme="minorHAnsi"/>
                <w:lang w:eastAsia="en-GB"/>
              </w:rPr>
            </w:pPr>
            <w:r>
              <w:rPr>
                <w:rFonts w:cstheme="minorHAnsi"/>
                <w:lang w:eastAsia="en-GB"/>
              </w:rPr>
              <w:t xml:space="preserve">Gill Barnard, </w:t>
            </w:r>
            <w:r w:rsidRPr="00023349">
              <w:rPr>
                <w:rFonts w:cstheme="minorHAnsi"/>
                <w:lang w:eastAsia="en-GB"/>
              </w:rPr>
              <w:t xml:space="preserve">Practice Manager </w:t>
            </w:r>
          </w:p>
          <w:p w14:paraId="3542D202" w14:textId="38C80AA1" w:rsidR="003945EC" w:rsidRPr="00B15982" w:rsidRDefault="003945EC" w:rsidP="003945EC">
            <w:pPr>
              <w:jc w:val="both"/>
              <w:rPr>
                <w:rFonts w:cstheme="minorHAnsi"/>
                <w:lang w:eastAsia="en-GB"/>
              </w:rPr>
            </w:pPr>
            <w:r w:rsidRPr="00B15982">
              <w:rPr>
                <w:rFonts w:cstheme="minorHAnsi"/>
                <w:lang w:eastAsia="en-GB"/>
              </w:rPr>
              <w:t xml:space="preserve">Waterfoot Group of Doctors </w:t>
            </w:r>
            <w:r w:rsidR="00597616">
              <w:rPr>
                <w:rFonts w:cstheme="minorHAnsi"/>
                <w:lang w:eastAsia="en-GB"/>
              </w:rPr>
              <w:t>– our ‘Parent Practice’</w:t>
            </w:r>
          </w:p>
          <w:p w14:paraId="5F7F768F" w14:textId="77777777" w:rsidR="003945EC" w:rsidRPr="00B15982" w:rsidRDefault="003945EC" w:rsidP="003945EC">
            <w:pPr>
              <w:jc w:val="both"/>
              <w:rPr>
                <w:rFonts w:cstheme="minorHAnsi"/>
                <w:lang w:eastAsia="en-GB"/>
              </w:rPr>
            </w:pPr>
            <w:proofErr w:type="spellStart"/>
            <w:r w:rsidRPr="00B15982">
              <w:rPr>
                <w:rFonts w:cstheme="minorHAnsi"/>
                <w:lang w:eastAsia="en-GB"/>
              </w:rPr>
              <w:t>Cowpe</w:t>
            </w:r>
            <w:proofErr w:type="spellEnd"/>
            <w:r w:rsidRPr="00B15982">
              <w:rPr>
                <w:rFonts w:cstheme="minorHAnsi"/>
                <w:lang w:eastAsia="en-GB"/>
              </w:rPr>
              <w:t xml:space="preserve"> Road</w:t>
            </w:r>
          </w:p>
          <w:p w14:paraId="37F43201" w14:textId="77777777" w:rsidR="003945EC" w:rsidRPr="00B15982" w:rsidRDefault="003945EC" w:rsidP="003945EC">
            <w:pPr>
              <w:jc w:val="both"/>
              <w:rPr>
                <w:rFonts w:cstheme="minorHAnsi"/>
                <w:lang w:eastAsia="en-GB"/>
              </w:rPr>
            </w:pPr>
            <w:r w:rsidRPr="00B15982">
              <w:rPr>
                <w:rFonts w:cstheme="minorHAnsi"/>
                <w:lang w:eastAsia="en-GB"/>
              </w:rPr>
              <w:t>Waterfoot</w:t>
            </w:r>
          </w:p>
          <w:p w14:paraId="2E2F12FA" w14:textId="77777777" w:rsidR="003945EC" w:rsidRPr="00B15982" w:rsidRDefault="003945EC" w:rsidP="003945EC">
            <w:pPr>
              <w:jc w:val="both"/>
              <w:rPr>
                <w:rFonts w:cstheme="minorHAnsi"/>
                <w:lang w:eastAsia="en-GB"/>
              </w:rPr>
            </w:pPr>
            <w:r w:rsidRPr="00B15982">
              <w:rPr>
                <w:rFonts w:cstheme="minorHAnsi"/>
                <w:lang w:eastAsia="en-GB"/>
              </w:rPr>
              <w:t>Rossendale</w:t>
            </w:r>
          </w:p>
          <w:p w14:paraId="04F28540" w14:textId="5EF7C6A7" w:rsidR="008B38A0" w:rsidRPr="006E5EB2" w:rsidRDefault="003945EC" w:rsidP="003945EC">
            <w:pPr>
              <w:jc w:val="both"/>
              <w:rPr>
                <w:rFonts w:cstheme="minorHAnsi"/>
              </w:rPr>
            </w:pPr>
            <w:r w:rsidRPr="00B15982">
              <w:rPr>
                <w:rFonts w:cstheme="minorHAnsi"/>
                <w:lang w:eastAsia="en-GB"/>
              </w:rPr>
              <w:t>BB4 7DN</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1C1298">
            <w:pPr>
              <w:jc w:val="both"/>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1C1298">
            <w:pPr>
              <w:jc w:val="both"/>
              <w:rPr>
                <w:rFonts w:cstheme="minorHAnsi"/>
              </w:rPr>
            </w:pPr>
            <w:r>
              <w:rPr>
                <w:rFonts w:cstheme="minorHAnsi"/>
              </w:rPr>
              <w:t>The following sections of the GDPR mean that we can share information when the law tells us to.</w:t>
            </w:r>
          </w:p>
          <w:p w14:paraId="485E18EE" w14:textId="77777777" w:rsidR="008B38A0" w:rsidRDefault="008B38A0" w:rsidP="001C1298">
            <w:pPr>
              <w:jc w:val="both"/>
              <w:rPr>
                <w:rFonts w:cstheme="minorHAnsi"/>
              </w:rPr>
            </w:pPr>
          </w:p>
          <w:p w14:paraId="5CEF32B5" w14:textId="77777777" w:rsidR="008B38A0" w:rsidRDefault="008B38A0" w:rsidP="001C1298">
            <w:pPr>
              <w:jc w:val="both"/>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1C1298">
            <w:pPr>
              <w:jc w:val="both"/>
              <w:rPr>
                <w:rFonts w:cstheme="minorHAnsi"/>
              </w:rPr>
            </w:pPr>
          </w:p>
          <w:p w14:paraId="486DCC53" w14:textId="77777777" w:rsidR="008B38A0" w:rsidRPr="006E5EB2" w:rsidRDefault="008B38A0" w:rsidP="001C1298">
            <w:pPr>
              <w:jc w:val="both"/>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1C1298">
            <w:pPr>
              <w:pStyle w:val="ListParagraph"/>
              <w:numPr>
                <w:ilvl w:val="0"/>
                <w:numId w:val="7"/>
              </w:numPr>
              <w:jc w:val="both"/>
              <w:rPr>
                <w:rFonts w:cstheme="minorHAnsi"/>
                <w:color w:val="000000"/>
                <w:lang w:eastAsia="en-GB"/>
              </w:rPr>
            </w:pPr>
            <w:r w:rsidRPr="00334BFE">
              <w:rPr>
                <w:rFonts w:cstheme="minorHAnsi"/>
                <w:color w:val="000000"/>
                <w:lang w:eastAsia="en-GB"/>
              </w:rPr>
              <w:t>The data will be shared with NHS Digital.</w:t>
            </w:r>
          </w:p>
          <w:p w14:paraId="40D56CA4" w14:textId="5D32E328" w:rsidR="008B38A0" w:rsidRPr="00334BFE" w:rsidRDefault="008B38A0" w:rsidP="001C1298">
            <w:pPr>
              <w:pStyle w:val="ListParagraph"/>
              <w:numPr>
                <w:ilvl w:val="0"/>
                <w:numId w:val="7"/>
              </w:numPr>
              <w:jc w:val="both"/>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1C1298">
            <w:pPr>
              <w:pStyle w:val="ListParagraph"/>
              <w:numPr>
                <w:ilvl w:val="0"/>
                <w:numId w:val="7"/>
              </w:numPr>
              <w:jc w:val="both"/>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1C1298">
            <w:pPr>
              <w:pStyle w:val="ListParagraph"/>
              <w:numPr>
                <w:ilvl w:val="0"/>
                <w:numId w:val="7"/>
              </w:numPr>
              <w:jc w:val="both"/>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1C1298">
            <w:pPr>
              <w:jc w:val="both"/>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1C1298">
            <w:pPr>
              <w:jc w:val="both"/>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1C1298">
            <w:pPr>
              <w:jc w:val="both"/>
              <w:rPr>
                <w:rFonts w:cstheme="minorHAnsi"/>
                <w:color w:val="000000"/>
                <w:lang w:eastAsia="en-GB"/>
              </w:rPr>
            </w:pPr>
          </w:p>
          <w:p w14:paraId="6F69E91D" w14:textId="77777777" w:rsidR="008B38A0" w:rsidRDefault="008B38A0" w:rsidP="001C1298">
            <w:pPr>
              <w:jc w:val="both"/>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1C1298">
            <w:pPr>
              <w:pStyle w:val="ListParagraph"/>
              <w:numPr>
                <w:ilvl w:val="0"/>
                <w:numId w:val="6"/>
              </w:numPr>
              <w:jc w:val="both"/>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1C1298">
            <w:pPr>
              <w:pStyle w:val="ListParagraph"/>
              <w:numPr>
                <w:ilvl w:val="0"/>
                <w:numId w:val="6"/>
              </w:numPr>
              <w:jc w:val="both"/>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1C1298">
            <w:pPr>
              <w:pStyle w:val="ListParagraph"/>
              <w:numPr>
                <w:ilvl w:val="0"/>
                <w:numId w:val="6"/>
              </w:numPr>
              <w:jc w:val="both"/>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04416062" w:rsidR="008B38A0" w:rsidRPr="001829D0" w:rsidRDefault="008B38A0" w:rsidP="001C1298">
            <w:pPr>
              <w:pStyle w:val="ListParagraph"/>
              <w:numPr>
                <w:ilvl w:val="0"/>
                <w:numId w:val="6"/>
              </w:numPr>
              <w:jc w:val="both"/>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643CA8E" w14:textId="77777777" w:rsidR="008B38A0" w:rsidRDefault="008B38A0" w:rsidP="001C1298">
            <w:pPr>
              <w:jc w:val="both"/>
              <w:rPr>
                <w:rFonts w:cstheme="minorHAnsi"/>
                <w:color w:val="FF0000"/>
                <w:lang w:eastAsia="en-GB"/>
              </w:rPr>
            </w:pPr>
          </w:p>
          <w:p w14:paraId="63466F78" w14:textId="697C9B46" w:rsidR="008B38A0" w:rsidRPr="00FE3EAE" w:rsidRDefault="008B38A0" w:rsidP="001C1298">
            <w:pPr>
              <w:jc w:val="both"/>
              <w:rPr>
                <w:rFonts w:cstheme="minorHAnsi"/>
                <w:lang w:eastAsia="en-GB"/>
              </w:rPr>
            </w:pPr>
            <w:r w:rsidRPr="00FE3EAE">
              <w:rPr>
                <w:rFonts w:cstheme="minorHAnsi"/>
                <w:lang w:eastAsia="en-GB"/>
              </w:rPr>
              <w:t xml:space="preserve">The national data op-out model provides you with an easy way of opting-out of </w:t>
            </w:r>
            <w:r w:rsidRPr="00FE3EAE">
              <w:t xml:space="preserve">identifiable data being used for health service planning and research purposes, including when it is shared by NHS Digital for </w:t>
            </w:r>
            <w:r w:rsidRPr="00FE3EAE">
              <w:lastRenderedPageBreak/>
              <w:t xml:space="preserve">these reasons. </w:t>
            </w:r>
          </w:p>
          <w:p w14:paraId="44944D05" w14:textId="60D09B1F" w:rsidR="00FE3EAE" w:rsidRPr="00FE3EAE" w:rsidRDefault="008B38A0" w:rsidP="00FE3EAE">
            <w:pPr>
              <w:jc w:val="both"/>
              <w:rPr>
                <w:rFonts w:cstheme="minorHAnsi"/>
                <w:lang w:eastAsia="en-GB"/>
              </w:rPr>
            </w:pPr>
            <w:r w:rsidRPr="00FE3EAE">
              <w:rPr>
                <w:rFonts w:cstheme="minorHAnsi"/>
                <w:lang w:eastAsia="en-GB"/>
              </w:rPr>
              <w:t>To opt-out or to find out more about your opt-out choices ple</w:t>
            </w:r>
            <w:r w:rsidR="00FE3EAE" w:rsidRPr="00FE3EAE">
              <w:rPr>
                <w:rFonts w:cstheme="minorHAnsi"/>
                <w:lang w:eastAsia="en-GB"/>
              </w:rPr>
              <w:t xml:space="preserve">ase go to NHS Digital’s website: </w:t>
            </w:r>
            <w:hyperlink r:id="rId13" w:history="1">
              <w:r w:rsidR="00FE3EAE" w:rsidRPr="00CB61C5">
                <w:rPr>
                  <w:rStyle w:val="Hyperlink"/>
                  <w:rFonts w:cstheme="minorHAnsi"/>
                  <w:lang w:eastAsia="en-GB"/>
                </w:rPr>
                <w:t>https://digital.nhs.uk/services/national-data-opt-out-programme</w:t>
              </w:r>
            </w:hyperlink>
            <w:r w:rsidR="00FE3EAE">
              <w:rPr>
                <w:rFonts w:cstheme="minorHAnsi"/>
                <w:lang w:eastAsia="en-GB"/>
              </w:rPr>
              <w:t xml:space="preserve"> </w:t>
            </w:r>
          </w:p>
          <w:p w14:paraId="4DC449C3" w14:textId="77777777" w:rsidR="008B38A0" w:rsidRDefault="008B38A0" w:rsidP="001C1298">
            <w:pPr>
              <w:jc w:val="both"/>
              <w:rPr>
                <w:rFonts w:cstheme="minorHAnsi"/>
                <w:color w:val="FF0000"/>
                <w:lang w:eastAsia="en-GB"/>
              </w:rPr>
            </w:pPr>
          </w:p>
          <w:p w14:paraId="3DDBEE2C" w14:textId="77777777" w:rsidR="00FE3EAE" w:rsidRPr="004B4512" w:rsidRDefault="00FE3EAE" w:rsidP="001C1298">
            <w:pPr>
              <w:jc w:val="both"/>
              <w:rPr>
                <w:rFonts w:cstheme="minorHAnsi"/>
                <w:color w:val="FF0000"/>
                <w:lang w:eastAsia="en-GB"/>
              </w:rPr>
            </w:pPr>
          </w:p>
          <w:p w14:paraId="7E4E919B" w14:textId="77777777" w:rsidR="008B38A0" w:rsidRDefault="008B38A0" w:rsidP="001C1298">
            <w:pPr>
              <w:jc w:val="both"/>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1C1298">
            <w:pPr>
              <w:pStyle w:val="ListParagraph"/>
              <w:numPr>
                <w:ilvl w:val="0"/>
                <w:numId w:val="8"/>
              </w:numPr>
              <w:jc w:val="both"/>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1C1298">
            <w:pPr>
              <w:jc w:val="both"/>
              <w:rPr>
                <w:rFonts w:cstheme="minorHAnsi"/>
                <w:color w:val="000000"/>
                <w:lang w:eastAsia="en-GB"/>
              </w:rPr>
            </w:pPr>
          </w:p>
          <w:p w14:paraId="557DA172" w14:textId="77777777" w:rsidR="008B38A0" w:rsidRDefault="008B38A0" w:rsidP="001C1298">
            <w:pPr>
              <w:jc w:val="both"/>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1C1298">
            <w:pPr>
              <w:pStyle w:val="ListParagraph"/>
              <w:numPr>
                <w:ilvl w:val="0"/>
                <w:numId w:val="6"/>
              </w:numPr>
              <w:jc w:val="both"/>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1C1298">
            <w:pPr>
              <w:jc w:val="both"/>
              <w:rPr>
                <w:rFonts w:cstheme="minorHAnsi"/>
                <w:color w:val="000000"/>
                <w:lang w:eastAsia="en-GB"/>
              </w:rPr>
            </w:pPr>
          </w:p>
          <w:p w14:paraId="67334318" w14:textId="77777777" w:rsidR="008B38A0" w:rsidRDefault="008B38A0" w:rsidP="001C1298">
            <w:pPr>
              <w:jc w:val="both"/>
              <w:rPr>
                <w:rFonts w:cstheme="minorHAnsi"/>
                <w:color w:val="000000"/>
                <w:lang w:eastAsia="en-GB"/>
              </w:rPr>
            </w:pPr>
            <w:r>
              <w:rPr>
                <w:rFonts w:cstheme="minorHAnsi"/>
                <w:color w:val="000000"/>
                <w:lang w:eastAsia="en-GB"/>
              </w:rPr>
              <w:t>Care Quality Commission</w:t>
            </w:r>
          </w:p>
          <w:p w14:paraId="34A1DCD1" w14:textId="5FF28AE4" w:rsidR="008B38A0" w:rsidRDefault="008B38A0" w:rsidP="001C1298">
            <w:pPr>
              <w:pStyle w:val="ListParagraph"/>
              <w:numPr>
                <w:ilvl w:val="0"/>
                <w:numId w:val="6"/>
              </w:numPr>
              <w:jc w:val="both"/>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1C1298">
            <w:pPr>
              <w:pStyle w:val="ListParagraph"/>
              <w:jc w:val="both"/>
              <w:rPr>
                <w:rFonts w:cstheme="minorHAnsi"/>
                <w:color w:val="000000"/>
                <w:lang w:eastAsia="en-GB"/>
              </w:rPr>
            </w:pPr>
          </w:p>
          <w:p w14:paraId="7C0BAF0C" w14:textId="77777777" w:rsidR="008B38A0" w:rsidRDefault="008B38A0" w:rsidP="001C1298">
            <w:pPr>
              <w:jc w:val="both"/>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1C1298">
            <w:pPr>
              <w:pStyle w:val="ListParagraph"/>
              <w:numPr>
                <w:ilvl w:val="0"/>
                <w:numId w:val="6"/>
              </w:numPr>
              <w:jc w:val="both"/>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0F25E18D" w:rsidR="008B38A0" w:rsidRPr="002F7ABB" w:rsidRDefault="008B38A0" w:rsidP="001C1298">
            <w:pPr>
              <w:pStyle w:val="ListParagraph"/>
              <w:numPr>
                <w:ilvl w:val="0"/>
                <w:numId w:val="2"/>
              </w:numPr>
              <w:jc w:val="both"/>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w:t>
            </w:r>
            <w:r w:rsidR="00597616">
              <w:rPr>
                <w:rFonts w:cstheme="minorHAnsi"/>
                <w:color w:val="000000"/>
                <w:lang w:eastAsia="en-GB"/>
              </w:rPr>
              <w:t>e speak to a member of staff</w:t>
            </w:r>
            <w:bookmarkStart w:id="0" w:name="_GoBack"/>
            <w:bookmarkEnd w:id="0"/>
          </w:p>
          <w:p w14:paraId="24F1C094" w14:textId="77777777" w:rsidR="008B38A0" w:rsidRPr="0063709C" w:rsidRDefault="008B38A0" w:rsidP="001C1298">
            <w:pPr>
              <w:pStyle w:val="ListParagraph"/>
              <w:jc w:val="both"/>
              <w:rPr>
                <w:rFonts w:cstheme="minorHAnsi"/>
                <w:color w:val="000000"/>
                <w:lang w:eastAsia="en-GB"/>
              </w:rPr>
            </w:pPr>
          </w:p>
          <w:p w14:paraId="6975B8EB" w14:textId="77777777" w:rsidR="008B38A0" w:rsidRPr="006929ED" w:rsidRDefault="008B38A0" w:rsidP="001C1298">
            <w:pPr>
              <w:numPr>
                <w:ilvl w:val="0"/>
                <w:numId w:val="2"/>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1C1298">
            <w:pPr>
              <w:jc w:val="both"/>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1C1298">
            <w:pPr>
              <w:jc w:val="both"/>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1C1298">
            <w:pPr>
              <w:jc w:val="both"/>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1C1298">
            <w:pPr>
              <w:jc w:val="both"/>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F5542"/>
    <w:multiLevelType w:val="hybridMultilevel"/>
    <w:tmpl w:val="3A18F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7620E"/>
    <w:multiLevelType w:val="hybridMultilevel"/>
    <w:tmpl w:val="F05CB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3"/>
  </w:num>
  <w:num w:numId="6">
    <w:abstractNumId w:val="5"/>
  </w:num>
  <w:num w:numId="7">
    <w:abstractNumId w:val="0"/>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1C1298"/>
    <w:rsid w:val="003945EC"/>
    <w:rsid w:val="0044335B"/>
    <w:rsid w:val="00597616"/>
    <w:rsid w:val="008B38A0"/>
    <w:rsid w:val="008D55B0"/>
    <w:rsid w:val="00B750C7"/>
    <w:rsid w:val="00DB47D8"/>
    <w:rsid w:val="00FE3EA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national-data-opt-out-program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13e47fb3-5400-4697-b3cb-741c73a8ebb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2efe0ad-e471-4465-94ab-c832b74aba9b"/>
    <ds:schemaRef ds:uri="http://www.w3.org/XML/1998/namespace"/>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Driver Stephanie (ELCCG)</cp:lastModifiedBy>
  <cp:revision>2</cp:revision>
  <dcterms:created xsi:type="dcterms:W3CDTF">2018-05-31T19:57:00Z</dcterms:created>
  <dcterms:modified xsi:type="dcterms:W3CDTF">2018-05-31T19:57:00Z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