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DF" w:rsidRPr="00ED70A4" w:rsidRDefault="00D24EA8" w:rsidP="00FD39DF">
      <w:pPr>
        <w:spacing w:after="0" w:line="24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Pendle</w:t>
      </w:r>
      <w:r w:rsidR="00FD39DF" w:rsidRPr="00ED70A4">
        <w:rPr>
          <w:rFonts w:cs="Times New Roman"/>
          <w:b/>
          <w:sz w:val="32"/>
          <w:szCs w:val="32"/>
        </w:rPr>
        <w:t xml:space="preserve"> Care Navigation / Directory of Services</w:t>
      </w:r>
    </w:p>
    <w:p w:rsidR="00FD39DF" w:rsidRPr="00ED70A4" w:rsidRDefault="00FD39DF" w:rsidP="00FD39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b/>
          <w:sz w:val="32"/>
          <w:szCs w:val="32"/>
        </w:rPr>
      </w:pPr>
      <w:r w:rsidRPr="00ED70A4">
        <w:rPr>
          <w:rFonts w:cs="Times New Roman"/>
          <w:b/>
          <w:sz w:val="32"/>
          <w:szCs w:val="32"/>
        </w:rPr>
        <w:t>Service Access Criteria for:-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48"/>
          <w:szCs w:val="48"/>
          <w:u w:val="single"/>
        </w:rPr>
      </w:pPr>
      <w:r w:rsidRPr="00ED70A4">
        <w:rPr>
          <w:rFonts w:cs="Times New Roman"/>
          <w:sz w:val="48"/>
          <w:szCs w:val="48"/>
          <w:u w:val="single"/>
        </w:rPr>
        <w:t>Talking Therapies</w:t>
      </w:r>
      <w:r w:rsidR="00D24EA8">
        <w:rPr>
          <w:rFonts w:cs="Times New Roman"/>
          <w:sz w:val="48"/>
          <w:szCs w:val="48"/>
          <w:u w:val="single"/>
        </w:rPr>
        <w:t xml:space="preserve"> – Pendle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b/>
          <w:sz w:val="24"/>
          <w:szCs w:val="24"/>
        </w:rPr>
      </w:pPr>
      <w:r w:rsidRPr="00ED70A4">
        <w:rPr>
          <w:rFonts w:cs="Times New Roman"/>
          <w:b/>
          <w:sz w:val="24"/>
          <w:szCs w:val="24"/>
        </w:rPr>
        <w:t>Brief Description</w:t>
      </w:r>
    </w:p>
    <w:p w:rsidR="00FD39DF" w:rsidRPr="00ED70A4" w:rsidRDefault="00FD39DF" w:rsidP="00FD39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The service provides evidence based treatments for people aged 16+ with mild to moderate anxiety and depression (implementing NICE Guidelines).  The service is also available to </w:t>
      </w:r>
      <w:proofErr w:type="gramStart"/>
      <w:r w:rsidRPr="00ED70A4">
        <w:rPr>
          <w:rFonts w:cs="Times New Roman"/>
          <w:sz w:val="24"/>
          <w:szCs w:val="24"/>
        </w:rPr>
        <w:t>help  patients</w:t>
      </w:r>
      <w:proofErr w:type="gramEnd"/>
      <w:r w:rsidRPr="00ED70A4">
        <w:rPr>
          <w:rFonts w:cs="Times New Roman"/>
          <w:sz w:val="24"/>
          <w:szCs w:val="24"/>
        </w:rPr>
        <w:t xml:space="preserve"> manage the psychological and emotional impact of  long term health conditions e.g. COPD, diabetes.  Treatments may be delivered as part of a group, online or on a one to one basis. Once an assessment has been completed a therapist will speak to a patient about treatment options.   </w:t>
      </w:r>
    </w:p>
    <w:p w:rsidR="00FD39DF" w:rsidRPr="00ED70A4" w:rsidRDefault="00FD39DF" w:rsidP="00FD39D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Patients are able to self-refer and will receive an assessment without needing to see their GP first.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b/>
          <w:sz w:val="24"/>
          <w:szCs w:val="24"/>
        </w:rPr>
      </w:pPr>
      <w:r w:rsidRPr="00ED70A4">
        <w:rPr>
          <w:rFonts w:cs="Times New Roman"/>
          <w:b/>
          <w:sz w:val="24"/>
          <w:szCs w:val="24"/>
        </w:rPr>
        <w:t>Conditions treated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The service can help with the following:-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• Mild to moderate anxiety or depression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• Panic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• Bereavement/loss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• Work stress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• Low self-esteem/confidence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• Poor sleep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• Adjustment issues e.g. retirement, redundancy, </w:t>
      </w:r>
      <w:proofErr w:type="gramStart"/>
      <w:r w:rsidRPr="00ED70A4">
        <w:rPr>
          <w:rFonts w:cs="Times New Roman"/>
          <w:sz w:val="24"/>
          <w:szCs w:val="24"/>
        </w:rPr>
        <w:t>disability</w:t>
      </w:r>
      <w:proofErr w:type="gramEnd"/>
    </w:p>
    <w:p w:rsidR="00FD39DF" w:rsidRPr="00ED70A4" w:rsidRDefault="00FD39DF" w:rsidP="00FD39D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Dealing with diagnosis and living with health conditions/long term conditions e.g. COPD, diabetes</w:t>
      </w:r>
    </w:p>
    <w:p w:rsidR="00FD39DF" w:rsidRPr="00ED70A4" w:rsidRDefault="00FD39DF" w:rsidP="00FD39D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Pre &amp; post-natal depression (perinatal)</w:t>
      </w:r>
    </w:p>
    <w:p w:rsidR="00FD39DF" w:rsidRPr="00ED70A4" w:rsidRDefault="00FD39DF" w:rsidP="00FD39D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Trauma</w:t>
      </w:r>
      <w:r w:rsidR="00D55E77">
        <w:rPr>
          <w:rFonts w:cs="Times New Roman"/>
          <w:sz w:val="24"/>
          <w:szCs w:val="24"/>
        </w:rPr>
        <w:t xml:space="preserve"> – </w:t>
      </w:r>
      <w:proofErr w:type="spellStart"/>
      <w:r w:rsidR="00D55E77">
        <w:rPr>
          <w:rFonts w:cs="Times New Roman"/>
          <w:sz w:val="24"/>
          <w:szCs w:val="24"/>
        </w:rPr>
        <w:t>eg</w:t>
      </w:r>
      <w:proofErr w:type="spellEnd"/>
      <w:r w:rsidR="00D55E77">
        <w:rPr>
          <w:rFonts w:cs="Times New Roman"/>
          <w:sz w:val="24"/>
          <w:szCs w:val="24"/>
        </w:rPr>
        <w:t xml:space="preserve"> psychological trauma such as history of abuse or the psychological effects of physical trauma</w:t>
      </w:r>
    </w:p>
    <w:p w:rsidR="00FD39DF" w:rsidRPr="00ED70A4" w:rsidRDefault="00FD39DF" w:rsidP="00FD39D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Relationship issues</w:t>
      </w:r>
    </w:p>
    <w:p w:rsidR="00FD39DF" w:rsidRPr="00ED70A4" w:rsidRDefault="00FD39DF" w:rsidP="00FD39D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Phobia</w:t>
      </w:r>
    </w:p>
    <w:p w:rsidR="00FD39DF" w:rsidRPr="00ED70A4" w:rsidRDefault="00FD39DF" w:rsidP="00FD39DF">
      <w:pPr>
        <w:spacing w:after="0" w:line="240" w:lineRule="auto"/>
        <w:ind w:left="142"/>
        <w:contextualSpacing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b/>
          <w:sz w:val="24"/>
          <w:szCs w:val="24"/>
        </w:rPr>
      </w:pPr>
      <w:r w:rsidRPr="00ED70A4">
        <w:rPr>
          <w:rFonts w:cs="Times New Roman"/>
          <w:b/>
          <w:sz w:val="24"/>
          <w:szCs w:val="24"/>
        </w:rPr>
        <w:t>Exclusions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The service </w:t>
      </w:r>
      <w:r w:rsidRPr="00ED70A4">
        <w:rPr>
          <w:rFonts w:cs="Times New Roman"/>
          <w:b/>
          <w:sz w:val="24"/>
          <w:szCs w:val="24"/>
          <w:u w:val="single"/>
        </w:rPr>
        <w:t>does not</w:t>
      </w:r>
      <w:r w:rsidRPr="00ED70A4">
        <w:rPr>
          <w:rFonts w:cs="Times New Roman"/>
          <w:sz w:val="24"/>
          <w:szCs w:val="24"/>
        </w:rPr>
        <w:t xml:space="preserve"> cover the following:-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C3472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C34724">
        <w:rPr>
          <w:rFonts w:cs="Times New Roman"/>
          <w:sz w:val="24"/>
          <w:szCs w:val="24"/>
        </w:rPr>
        <w:t>• Drug and/or alcohol dependence</w:t>
      </w:r>
    </w:p>
    <w:p w:rsidR="00FD39DF" w:rsidRPr="00C3472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C34724">
        <w:rPr>
          <w:rFonts w:cs="Times New Roman"/>
          <w:sz w:val="24"/>
          <w:szCs w:val="24"/>
        </w:rPr>
        <w:t>• Individuals who are actively suicidal &amp; in crisis</w:t>
      </w:r>
    </w:p>
    <w:p w:rsidR="00FD39DF" w:rsidRPr="00C3472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C34724">
        <w:rPr>
          <w:rFonts w:cs="Times New Roman"/>
          <w:sz w:val="24"/>
          <w:szCs w:val="24"/>
        </w:rPr>
        <w:t>• Patients under 16 years of age</w:t>
      </w:r>
    </w:p>
    <w:p w:rsidR="00FD39DF" w:rsidRPr="00C3472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C34724">
        <w:rPr>
          <w:rFonts w:cs="Times New Roman"/>
          <w:sz w:val="24"/>
          <w:szCs w:val="24"/>
        </w:rPr>
        <w:t>• Psychosis</w:t>
      </w:r>
      <w:r w:rsidR="00D55E77" w:rsidRPr="00C34724">
        <w:rPr>
          <w:rFonts w:cs="Times New Roman"/>
          <w:sz w:val="24"/>
          <w:szCs w:val="24"/>
        </w:rPr>
        <w:t xml:space="preserve"> exc those who are hearing voices – see below</w:t>
      </w:r>
    </w:p>
    <w:p w:rsidR="00FD39DF" w:rsidRPr="00C3472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C34724">
        <w:rPr>
          <w:rFonts w:cs="Times New Roman"/>
          <w:sz w:val="24"/>
          <w:szCs w:val="24"/>
        </w:rPr>
        <w:t>• Hearing voices</w:t>
      </w:r>
      <w:r w:rsidR="00D55E77" w:rsidRPr="00C34724">
        <w:rPr>
          <w:rFonts w:cs="Times New Roman"/>
          <w:sz w:val="24"/>
          <w:szCs w:val="24"/>
        </w:rPr>
        <w:t xml:space="preserve"> – </w:t>
      </w:r>
      <w:proofErr w:type="spellStart"/>
      <w:r w:rsidR="00D55E77" w:rsidRPr="00C34724">
        <w:rPr>
          <w:rFonts w:cs="Times New Roman"/>
          <w:sz w:val="24"/>
          <w:szCs w:val="24"/>
        </w:rPr>
        <w:t>eg</w:t>
      </w:r>
      <w:proofErr w:type="spellEnd"/>
      <w:r w:rsidR="00D55E77" w:rsidRPr="00C34724">
        <w:rPr>
          <w:rFonts w:cs="Times New Roman"/>
          <w:sz w:val="24"/>
          <w:szCs w:val="24"/>
        </w:rPr>
        <w:t xml:space="preserve"> external auditory hallucinations 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C34724">
        <w:rPr>
          <w:rFonts w:cs="Times New Roman"/>
          <w:sz w:val="24"/>
          <w:szCs w:val="24"/>
        </w:rPr>
        <w:t>• Personality disorder</w:t>
      </w:r>
      <w:r w:rsidR="00D55E77" w:rsidRPr="00C34724">
        <w:rPr>
          <w:rFonts w:cs="Times New Roman"/>
          <w:sz w:val="24"/>
          <w:szCs w:val="24"/>
        </w:rPr>
        <w:t xml:space="preserve"> – </w:t>
      </w:r>
      <w:proofErr w:type="spellStart"/>
      <w:r w:rsidR="00D55E77" w:rsidRPr="00C34724">
        <w:rPr>
          <w:rFonts w:cs="Times New Roman"/>
          <w:sz w:val="24"/>
          <w:szCs w:val="24"/>
        </w:rPr>
        <w:t>eg</w:t>
      </w:r>
      <w:proofErr w:type="spellEnd"/>
      <w:r w:rsidR="00D55E77" w:rsidRPr="00C34724">
        <w:rPr>
          <w:rFonts w:cs="Times New Roman"/>
          <w:sz w:val="24"/>
          <w:szCs w:val="24"/>
        </w:rPr>
        <w:t xml:space="preserve"> positive diagnosis of</w:t>
      </w:r>
      <w:r w:rsidR="00C34724" w:rsidRPr="00C34724">
        <w:rPr>
          <w:rFonts w:cs="Times New Roman"/>
          <w:sz w:val="24"/>
          <w:szCs w:val="24"/>
        </w:rPr>
        <w:t xml:space="preserve"> personality disorder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b/>
          <w:sz w:val="24"/>
          <w:szCs w:val="24"/>
        </w:rPr>
      </w:pPr>
      <w:r w:rsidRPr="00ED70A4">
        <w:rPr>
          <w:rFonts w:cs="Times New Roman"/>
          <w:b/>
          <w:sz w:val="24"/>
          <w:szCs w:val="24"/>
        </w:rPr>
        <w:lastRenderedPageBreak/>
        <w:t>How to Access the Service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The service can be accessed via self-referral into either Lancashire Care Foundation Trust or the Lancashire </w:t>
      </w:r>
      <w:proofErr w:type="spellStart"/>
      <w:r w:rsidRPr="00ED70A4">
        <w:rPr>
          <w:rFonts w:cs="Times New Roman"/>
          <w:sz w:val="24"/>
          <w:szCs w:val="24"/>
        </w:rPr>
        <w:t>Womens</w:t>
      </w:r>
      <w:proofErr w:type="spellEnd"/>
      <w:r w:rsidRPr="00ED70A4">
        <w:rPr>
          <w:rFonts w:cs="Times New Roman"/>
          <w:sz w:val="24"/>
          <w:szCs w:val="24"/>
        </w:rPr>
        <w:t xml:space="preserve"> Centres, as detailed below.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Lancashire Care Foundation Trust – patients can either telephone the service or complete the online self-referral form using the details below.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Telephone: 01254 226007, Mon-Fri: 9am-5pm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Or 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Complete the online self-referral form on </w:t>
      </w:r>
      <w:hyperlink r:id="rId6" w:history="1">
        <w:r w:rsidRPr="00ED70A4">
          <w:rPr>
            <w:rFonts w:cs="Times New Roman"/>
            <w:color w:val="0000FF"/>
            <w:sz w:val="24"/>
            <w:szCs w:val="24"/>
            <w:u w:val="single"/>
          </w:rPr>
          <w:t>https://gateway.mayden.co.uk/referral-v2/07681012-dcbe-4194-acf6-e09a9ce2929d</w:t>
        </w:r>
      </w:hyperlink>
      <w:r w:rsidRPr="00ED70A4">
        <w:rPr>
          <w:rFonts w:cs="Times New Roman"/>
          <w:sz w:val="24"/>
          <w:szCs w:val="24"/>
        </w:rPr>
        <w:t xml:space="preserve">  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Lancashire </w:t>
      </w:r>
      <w:proofErr w:type="spellStart"/>
      <w:r w:rsidRPr="00ED70A4">
        <w:rPr>
          <w:rFonts w:cs="Times New Roman"/>
          <w:sz w:val="24"/>
          <w:szCs w:val="24"/>
        </w:rPr>
        <w:t>Womens</w:t>
      </w:r>
      <w:proofErr w:type="spellEnd"/>
      <w:r w:rsidRPr="00ED70A4">
        <w:rPr>
          <w:rFonts w:cs="Times New Roman"/>
          <w:sz w:val="24"/>
          <w:szCs w:val="24"/>
        </w:rPr>
        <w:t xml:space="preserve"> Centres – patients can </w:t>
      </w:r>
      <w:proofErr w:type="gramStart"/>
      <w:r w:rsidRPr="00ED70A4">
        <w:rPr>
          <w:rFonts w:cs="Times New Roman"/>
          <w:sz w:val="24"/>
          <w:szCs w:val="24"/>
        </w:rPr>
        <w:t>either walk</w:t>
      </w:r>
      <w:proofErr w:type="gramEnd"/>
      <w:r w:rsidRPr="00ED70A4">
        <w:rPr>
          <w:rFonts w:cs="Times New Roman"/>
          <w:sz w:val="24"/>
          <w:szCs w:val="24"/>
        </w:rPr>
        <w:t xml:space="preserve"> in, telephone or email the service using the details below.  The service is available during the following hours:-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Monday: 9am-8pm (10am-3pm women only)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Tuesday: 9am-5pm (10am-3pm women only)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Wednesday: 9am-8pm (10am-3pm women only)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Thursday: 9am-5pm (10am-3pm women only)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Friday: 9am-4.30pm (10am-3pm women only)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Saturday: 9.30am-4.00pm (men and women)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Accrington Lancashire </w:t>
      </w:r>
      <w:proofErr w:type="spellStart"/>
      <w:r w:rsidRPr="00ED70A4">
        <w:rPr>
          <w:rFonts w:cs="Times New Roman"/>
          <w:sz w:val="24"/>
          <w:szCs w:val="24"/>
        </w:rPr>
        <w:t>Womens</w:t>
      </w:r>
      <w:proofErr w:type="spellEnd"/>
      <w:r w:rsidRPr="00ED70A4">
        <w:rPr>
          <w:rFonts w:cs="Times New Roman"/>
          <w:sz w:val="24"/>
          <w:szCs w:val="24"/>
        </w:rPr>
        <w:t xml:space="preserve"> Centre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21-25 Blackburn Road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Accrington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Lancashire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BB5 1HF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>Telephone: 01254 871771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  <w:r w:rsidRPr="00ED70A4">
        <w:rPr>
          <w:rFonts w:cs="Times New Roman"/>
          <w:sz w:val="24"/>
          <w:szCs w:val="24"/>
        </w:rPr>
        <w:t xml:space="preserve">Email: </w:t>
      </w:r>
      <w:hyperlink r:id="rId7" w:history="1">
        <w:r w:rsidRPr="00ED70A4">
          <w:rPr>
            <w:rFonts w:cs="Times New Roman"/>
            <w:color w:val="0000FF"/>
            <w:sz w:val="24"/>
            <w:szCs w:val="24"/>
            <w:u w:val="single"/>
          </w:rPr>
          <w:t>community.wellbeing@nhs.net</w:t>
        </w:r>
      </w:hyperlink>
      <w:r w:rsidRPr="00ED70A4">
        <w:rPr>
          <w:rFonts w:cs="Times New Roman"/>
          <w:sz w:val="24"/>
          <w:szCs w:val="24"/>
        </w:rPr>
        <w:t xml:space="preserve"> </w:t>
      </w: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sz w:val="24"/>
          <w:szCs w:val="24"/>
        </w:rPr>
      </w:pPr>
    </w:p>
    <w:p w:rsidR="00FD39DF" w:rsidRPr="00ED70A4" w:rsidRDefault="00FD39DF" w:rsidP="00FD39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August</w:t>
      </w:r>
      <w:r w:rsidRPr="00ED70A4">
        <w:rPr>
          <w:rFonts w:cs="Times New Roman"/>
          <w:b/>
          <w:sz w:val="24"/>
          <w:szCs w:val="24"/>
        </w:rPr>
        <w:t xml:space="preserve"> 2017</w:t>
      </w:r>
      <w:r w:rsidR="00D24EA8">
        <w:rPr>
          <w:rFonts w:cs="Times New Roman"/>
          <w:b/>
          <w:sz w:val="24"/>
          <w:szCs w:val="24"/>
        </w:rPr>
        <w:t xml:space="preserve"> – V 1.1</w:t>
      </w:r>
    </w:p>
    <w:p w:rsidR="00CF5152" w:rsidRDefault="007C1BC3"/>
    <w:sectPr w:rsidR="00CF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299"/>
    <w:multiLevelType w:val="hybridMultilevel"/>
    <w:tmpl w:val="CC5E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F"/>
    <w:rsid w:val="00047691"/>
    <w:rsid w:val="003071AF"/>
    <w:rsid w:val="0047103C"/>
    <w:rsid w:val="005A470D"/>
    <w:rsid w:val="007C1BC3"/>
    <w:rsid w:val="00861F4B"/>
    <w:rsid w:val="00C34724"/>
    <w:rsid w:val="00D04264"/>
    <w:rsid w:val="00D24EA8"/>
    <w:rsid w:val="00D55E77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munity.wellbeing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eway.mayden.co.uk/referral-v2/07681012-dcbe-4194-acf6-e09a9ce292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Laverty Andy (ELCCG)</dc:creator>
  <cp:lastModifiedBy>Richardson Sara (ELCCG)</cp:lastModifiedBy>
  <cp:revision>2</cp:revision>
  <cp:lastPrinted>2017-08-30T07:04:00Z</cp:lastPrinted>
  <dcterms:created xsi:type="dcterms:W3CDTF">2018-03-20T13:43:00Z</dcterms:created>
  <dcterms:modified xsi:type="dcterms:W3CDTF">2018-03-20T13:43:00Z</dcterms:modified>
</cp:coreProperties>
</file>